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90" w:after="110"/>
      </w:pPr>
      <w:r>
        <w:rPr>
          <w:rFonts w:ascii="Arial" w:eastAsia="Microsoft YaHei"/>
          <w:b/>
          <w:color w:val="143F3B"/>
          <w:sz w:val="34"/>
        </w:rPr>
        <w:t xml:space="preserve">2026-10-20 AI 医疗竞对日报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每日速递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报告日期：2026 年 10 月 20 日，中国时间 00:00—24:00。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本期核实 5 条当日动态：Optum 与 Syneos Health、Oracle 与阿斯利康分别公布临床研究合作；Rhapsody 公布 Guardian 的 AI 智能体访问治理方案；Baba 和 Sunlight AI 公布融资。Sunlight AI 的公告发表于美东 10 月 19 日傍晚，折算后属于北京时间 10 月 20 日。Baba 在 A、B 两份材料中重复，本期只收录一次。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行业动态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26"/>
        </w:rPr>
        <w:t xml:space="preserve">Optum 与 Syneos Health 公布 AI 辅助临床开发合作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所属板块：行业动态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实际发生日期：2026 年 10 月 20 日（对外公布；协议签署日期未披露）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发布时间：2026 年 10 月 20 日 09:00 美东时间，即北京时间 21:00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事实摘要：双方拟结合 Optum 的医疗行业资源与 AI 能力、Syneos Health 的临床试验运营能力，开发试验方案模拟、患者与研究中心匹配等应用。公告描述的是合作计划，未披露已实现的试验成效。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具体来源链接：Syneos Health 公司新闻稿（https://www.globenewswire.com/news-release/2026/10/20/3384520/33420/en/optum-and-syneos-health-partner-to-advance-an-adaptive-clinical-development-model.html）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核验状态：已核验具体通稿、事实及发布时间。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国内竞对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无通过本期核验口径的重大动态。蚂蚁百灵候选及未收录原因见文末。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海外竞对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26"/>
        </w:rPr>
        <w:t xml:space="preserve">Oracle 与阿斯利康公布 AI 和真实世界数据合作意向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所属板块：海外竞对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实际发生日期：2026 年 10 月 20 日（对外公布；协议签署日期未披露）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发布时间：2026 年 10 月 20 日 00:51 美东时间，即北京时间 12:51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事实摘要：双方公布一项非约束性协议，拟探索利用 AI 和真实世界数据识别临床试验适格患者、加快证据生成，并将研究信息用于诊疗流程。公告未称相关能力已经落地。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具体来源链接：Oracle 官方公告（https://www.oracle.com/news/announcement/oracle-and-astrazeneca-partner-to-advance-ai-enabled-healthcare-2026-10-20/）；Oracle 发布的带时间通稿（https://www.prnewswire.com/news-releases/oracle-and-astrazeneca-partner-to-advance-ai-enabled-healthcare-innovation-302913441.html）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核验状态：已核验公告内容；通过带时间通稿核定北京时间。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26"/>
        </w:rPr>
        <w:t xml:space="preserve">Rhapsody 公布 Guardian 的 AI 智能体访问治理方案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所属板块：海外竞对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实际发生日期：2026 年 10 月 20 日（本次对外公布）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发布时间：2026 年 10 月 20 日 08:00 美东时间，即北京时间 20:00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事实摘要：Rhapsody 称 Guardian 可认证访问医疗数据与服务的 AI 智能体，执行权限和频率控制，并记录智能体及 API 活动。本次收录的是 10 月 20 日的治理方案公告，不将 Guardian 名称视为首次出现。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具体来源链接：Rhapsody 公司公告（https://rhapsody.health/blog/rhapsody-launches-guardian-to-govern-ai-agent-and-api-access-to-healthcare-data-and-services/）；带时间的公司通稿（https://www.prnewswire.com/news-releases/rhapsody-launches-guardian-to-govern-ai-agent-and-api-access-to-healthcare-data-and-services-302913231.html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核验状态：已核验具体公告及发布时间。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新兴创业公司雷达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26"/>
        </w:rPr>
        <w:t xml:space="preserve">Baba 公布 4000 万美元 A 轮融资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所属板块：新兴创业公司雷达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实际发生日期：2026 年 10 月 20 日（对外公布；融资交割日期未披露）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发布时间：2026 年 10 月 20 日 10:00 美东时间，即北京时间 22:00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事实摘要：Baba 宣布获得由 FirstMark Capital 领投的 4000 万美元 A 轮融资。公司称将推进 AI 研究、扩充照护团队并拓展与健康保险计划的合作。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具体来源链接：Baba 公司融资公告（https://www.globenewswire.com/news-release/2026/10/20/3384598/0/en/applied-ai-company-baba-raises-40-million-series-a-to-improve-the-medicare-experience.html）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核验状态：已核验公司通稿及发布时间；融资交割日期未披露。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业务判断：推断：其将 AI 与人工照护协调结合，后续值得观察服务成本和保险计划合作进展。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26"/>
        </w:rPr>
        <w:t xml:space="preserve">Sunlight AI 公开亮相并公布 1740 万美元种子轮融资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所属板块：新兴创业公司雷达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实际发生日期：2026 年 10 月 20 日（北京时间对外公布；融资交割及所述收购的完成日期未披露）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发布时间：2026 年 10 月 19 日 17:16 美东时间，即北京时间 10 月 20 日 05:16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事实摘要：Sunlight AI 宣布公开亮相、获得 1740 万美元种子轮融资，并公布收购 Bradford Medical Associates。公司称将结合 AI、软件和人工服务处理独立诊所的经营事务，同时保留医生对诊所和临床工作的控制权。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具体来源链接：Sunlight AI 公司通稿（https://www.prnewswire.com/news-releases/sunlight-ai-launches-with-17-4m-to-help-physicians-thrive-independently-302913153.html）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核验状态：已核验公司通稿及发布时间；未将未披露的交割、收购完成日期写作当日发生。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业务判断：推断：其价值取决于能否持续改善独立诊所的行政成本与回款表现。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疾病疗法前沿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无符合本期口径、可核验发生于报告日的重大动态。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30"/>
        </w:rPr>
        <w:t xml:space="preserve">高管动态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无符合本期范围、可核验发生于报告日的重大动态。</w:t>
      </w:r>
    </w:p>
    <w:p>
      <w:pPr>
        <w:spacing w:before="190" w:after="110"/>
      </w:pPr>
      <w:r>
        <w:rPr>
          <w:rFonts w:ascii="Arial" w:eastAsia="Microsoft YaHei"/>
          <w:b/>
          <w:color w:val="143F3B"/>
          <w:sz w:val="26"/>
        </w:rPr>
        <w:t xml:space="preserve">未收录候选与原因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所属板块：国内竞对；标题：蚂蚁百灵 Ming-3.0 语音系列及阿福应用；实际发生日期：媒体称模型于 2026 年 10 月 20 日发布，阿福相关功能的部署日期未核验；发布时间：所查IT 之家具体报道（https://www.ithome.com/1/015/117.htm）为当日 09:34:53；事实摘要：蚂蚁百灵官方模型列表（https://huggingface.co/collections/inclusionAI/ming-30）可确认模型存在，媒体报道其用于阿福，但未核对到发布方关于医疗场景部署及日期的原文；具体来源链接：报道（https://www.ithome.com/1/015/117.htm）、官方模型列表（https://huggingface.co/collections/inclusionAI/ming-30）；核验状态：未核验医疗应用原文及部署日期，因此未作为医疗竞对动态收录。</w:t>
      </w:r>
    </w:p>
    <w:p>
      <w:pPr>
        <w:spacing w:after="95" w:line="330" w:lineRule="auto"/>
      </w:pPr>
      <w:r>
        <w:rPr>
          <w:rFonts w:ascii="Arial" w:eastAsia="Microsoft YaHei"/>
          <w:color w:val="263634"/>
          <w:sz w:val="21"/>
        </w:rPr>
        <w:t xml:space="preserve">• 所属板块：新兴创业公司雷达；标题：Vinyl Health 200 万美元种子轮融资；实际发生日期：转载通稿称于 2026 年 10 月 20 日对外宣布，融资交割日期未披露；发布时间：转载页标注当日 08:00 美东时间，即北京时间 20:00；事实摘要：通稿转载页（https://wbnstv.marketminute.com/article/bizwire-2026-10-20-vinyl-health-raises-2m-from-healthx-ventures-to-help-patients-record-understand-and-share-their-care）称融资由 HealthX Ventures 领投；具体来源链接：Business Wire 原始发布页（https://www.businesswire.com/news/home/20261020052212/en/）、通稿转载页（https://wbnstv.marketminute.com/article/bizwire-2026-10-20-vinyl-health-raises-2m-from-healthx-ventures-to-help-patients-record-understand-and-share-their-care）；核验状态：未核验原始发布页，融资事实与原始发布时间无法独立复核，因此剔除。</w:t>
      </w:r>
    </w:p>
    <w:sectPr/>
  </w:body>
</w:document>
</file>