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sz w:val="30"/>
          <w:szCs w:val="30"/>
        </w:rPr>
        <w:t xml:space="preserve">Accelerated Understanding 물리 AI 모델 심층 조사 보고서</w:t>
      </w:r>
    </w:p>
    <w:p>
      <w:pPr>
        <w:spacing w:after="120" w:line="300"/>
      </w:pPr>
      <w:r>
        <w:rPr>
          <w:color w:val="555555"/>
          <w:sz w:val="18"/>
          <w:szCs w:val="18"/>
        </w:rPr>
        <w:t xml:space="preserve">국가 전략 검토용 사전 확인 자료 | 작성일 2026년 8월 27일 | 기준 시점의 공개 정보에 한함</w:t>
      </w:r>
    </w:p>
    <w:p>
      <w:pPr>
        <w:pBdr>
          <w:bottom w:val="single" w:color="999999" w:sz="6" w:space="1"/>
        </w:pBdr>
        <w:spacing w:after="160" w:before="40"/>
      </w:pPr>
      <w:r>
        <w:rPr>
          <w:sz w:val="2"/>
          <w:szCs w:val="2"/>
        </w:rPr>
        <w:t xml:space="preserve"/>
      </w:r>
    </w:p>
    <w:p>
      <w:pPr>
        <w:pStyle w:val="Heading1"/>
        <w:spacing w:after="160" w:before="320"/>
      </w:pPr>
      <w:r>
        <w:rPr>
          <w:b/>
          <w:bCs/>
          <w:color w:val="000000"/>
          <w:sz w:val="26"/>
          <w:szCs w:val="26"/>
        </w:rPr>
        <w:t xml:space="preserve">1. 요약</w:t>
      </w:r>
    </w:p>
    <w:p>
      <w:pPr>
        <w:spacing w:after="120" w:line="300"/>
      </w:pPr>
      <w:r>
        <w:rPr>
          <w:sz w:val="20"/>
          <w:szCs w:val="20"/>
        </w:rPr>
        <w:t xml:space="preserve">Accelerated Understanding은 Caltech 교수 Anima Anandkumar와 AI 엔지니어 Benedikt Jenik이 창업한 물리 AI 기업으로, 2026년 8월 25일 공개되었다.[2] 이 회사는 언어가 아니라 물리를 학습 대상으로 삼고, 트랜스포머(Transformer)가 아닌 뉴럴 오퍼레이터(neural operator) 계열 구조를 쓴다고 밝혔다.[2][3] 전략 검토자가 알아야 할 판단 근거는 다음과 같다.</w:t>
      </w:r>
    </w:p>
    <w:p>
      <w:pPr>
        <w:pStyle w:val="ListParagraph"/>
        <w:numPr>
          <w:ilvl w:val="0"/>
          <w:numId w:val="1"/>
        </w:numPr>
        <w:spacing w:after="80" w:line="300"/>
      </w:pPr>
      <w:r>
        <w:rPr>
          <w:b/>
          <w:bCs/>
          <w:sz w:val="20"/>
          <w:szCs w:val="20"/>
        </w:rPr>
        <w:t xml:space="preserve">학술 계보는 실재한다. </w:t>
      </w:r>
      <w:r>
        <w:rPr>
          <w:b w:val="false"/>
          <w:bCs w:val="false"/>
          <w:sz w:val="20"/>
          <w:szCs w:val="20"/>
        </w:rPr>
        <w:t xml:space="preserve">뉴럴 오퍼레이터는 2019~2020년 전후로 형성된 학술 계보이며, 창업자 Anandkumar는 그 대표 방식인 푸리에 뉴럴 오퍼레이터(Fourier Neural Operator, FNO)의 공동 저자다.[6] 같은 계열로 만든 기상 모델은 기존 수치예보 대비 수만 배 빠른 속도로 단기·중기 예보에서 비교 가능한 정확도를 보인 사례가 동료평가 문헌에 있다.[11] 이 회사의 기술 선택은 마케팅 신조어가 아니다. </w:t>
      </w:r>
    </w:p>
    <w:p>
      <w:pPr>
        <w:pStyle w:val="ListParagraph"/>
        <w:numPr>
          <w:ilvl w:val="0"/>
          <w:numId w:val="1"/>
        </w:numPr>
        <w:spacing w:after="80" w:line="300"/>
      </w:pPr>
      <w:r>
        <w:rPr>
          <w:b/>
          <w:bCs/>
          <w:sz w:val="20"/>
          <w:szCs w:val="20"/>
        </w:rPr>
        <w:t xml:space="preserve">그러나 이 회사의 성능 주장은 현재 전혀 검증되지 않았다. </w:t>
      </w:r>
      <w:r>
        <w:rPr>
          <w:sz w:val="20"/>
          <w:szCs w:val="20"/>
        </w:rPr>
        <w:t xml:space="preserve">1조 파라미터 사전학습 수백 회, 35조 파라미터 확장 시험, 추론 시 5조 초과 컨텍스트, 단일 추론 출력 약 22테라바이트 같은 수치는 모두 회사 발표문에만 근거한다.[1] 2026년 8월 27일 기준 이를 뒷받침하는 논문, 공개 벤치마크, 제3자 재현, 실명 고객 사례는 확인되지 않으며, 복수 매체가 이 부재를 명시적으로 지적했다.[3][4] </w:t>
      </w:r>
    </w:p>
    <w:p>
      <w:pPr>
        <w:pStyle w:val="ListParagraph"/>
        <w:numPr>
          <w:ilvl w:val="0"/>
          <w:numId w:val="1"/>
        </w:numPr>
        <w:spacing w:after="80" w:line="300"/>
      </w:pPr>
      <w:r>
        <w:rPr>
          <w:b/>
          <w:bCs/>
          <w:sz w:val="20"/>
          <w:szCs w:val="20"/>
        </w:rPr>
        <w:t xml:space="preserve">사업의 핵심은 속도가 아니라 미분 가능성이다. </w:t>
      </w:r>
      <w:r>
        <w:rPr>
          <w:sz w:val="20"/>
          <w:szCs w:val="20"/>
        </w:rPr>
        <w:t xml:space="preserve">실험과 기존 솔버는 결과만 알려주지만, 미분 가능한 물리 모델은 설계 변수를 어느 방향으로 얼마나 바꿔야 목표에 가까워지는지를 함께 준다. 이것이 설계 최적화 루프를 자동으로 닫는다. 원리 자체는 확립된 기법이며[독립 검증됨], 이 회사의 차별 주장은 그것을 특정 과제가 아니라 범용 다중물리 규모에서 제공하겠다는 데 있다.[1][기업 주장]</w:t>
      </w:r>
    </w:p>
    <w:p>
      <w:pPr>
        <w:pStyle w:val="ListParagraph"/>
        <w:numPr>
          <w:ilvl w:val="0"/>
          <w:numId w:val="1"/>
        </w:numPr>
        <w:spacing w:after="80" w:line="300"/>
      </w:pPr>
      <w:r>
        <w:rPr>
          <w:b/>
          <w:bCs/>
          <w:sz w:val="20"/>
          <w:szCs w:val="20"/>
        </w:rPr>
        <w:t xml:space="preserve">기존 수치해석을 대체하지 못하는 영역이 분명히 남는다[추론]. </w:t>
      </w:r>
      <w:r>
        <w:rPr>
          <w:sz w:val="20"/>
          <w:szCs w:val="20"/>
        </w:rPr>
        <w:t xml:space="preserve">안전 인증이 걸린 구조·감항·원자력 해석, 규제 제출용 계산, 오차 상한 증명이 요구되는 절차에서는 격자수렴과 검증·확인(V&amp;V) 트레이스가 법적 요건이다. 오차 상한을 보증하지 못하는 학습 모델은 대체재가 아니라 앞단의 탐색·스크리닝 도구다.</w:t>
      </w:r>
    </w:p>
    <w:p>
      <w:pPr>
        <w:pStyle w:val="ListParagraph"/>
        <w:numPr>
          <w:ilvl w:val="0"/>
          <w:numId w:val="1"/>
        </w:numPr>
        <w:spacing w:after="80" w:line="300"/>
      </w:pPr>
      <w:r>
        <w:rPr>
          <w:b/>
          <w:bCs/>
          <w:sz w:val="20"/>
          <w:szCs w:val="20"/>
        </w:rPr>
        <w:t xml:space="preserve">자금과 인력은 공개 정보 없음. </w:t>
      </w:r>
      <w:r>
        <w:rPr>
          <w:sz w:val="20"/>
          <w:szCs w:val="20"/>
        </w:rPr>
        <w:t xml:space="preserve">창업자는 투자 관련 언급을 거부했고, 컴퓨트는 컴퓨팅 제공사와의 파트너십으로 하드웨어 클러스터를 확보했다는 발언만 있을 뿐 파트너명은 비공개다.[2] 인력 규모와 기업가치도 공개되지 않았다.</w:t>
      </w:r>
    </w:p>
    <w:p>
      <w:pPr>
        <w:spacing w:after="120" w:line="300"/>
      </w:pPr>
      <w:r>
        <w:rPr>
          <w:b/>
          <w:bCs/>
          <w:sz w:val="20"/>
          <w:szCs w:val="20"/>
        </w:rPr>
        <w:t xml:space="preserve">검토 결론. </w:t>
      </w:r>
      <w:r>
        <w:rPr>
          <w:sz w:val="20"/>
          <w:szCs w:val="20"/>
        </w:rPr>
        <w:t xml:space="preserve">현 단계에서 이 회사는 검증된 역량이 아니라 검증 가능한 가설로 취급하는 것이 타당하다[추론]. 다만 가설의 학술적 근거와 창업자 실적은 무시할 수 있는 수준이 아니며, 실질적 대응은 투자 판단 이전에 우리 쪽에서 이런 주장을 독립적으로 재현·평가할 수 있는 물리 AI 벤치마크 역량과 데이터 자산을 갖추는 것이다.</w:t>
      </w:r>
    </w:p>
    <w:p>
      <w:r>
        <w:br w:type="page"/>
      </w:r>
    </w:p>
    <w:p>
      <w:pPr>
        <w:spacing w:after="80" w:line="300"/>
      </w:pPr>
      <w:r>
        <w:rPr>
          <w:b/>
          <w:bCs/>
          <w:sz w:val="20"/>
          <w:szCs w:val="20"/>
        </w:rPr>
        <w:t xml:space="preserve">조사 범위와 자료의 한계</w:t>
      </w:r>
    </w:p>
    <w:p>
      <w:pPr>
        <w:spacing w:after="120" w:line="300"/>
      </w:pPr>
      <w:r>
        <w:rPr>
          <w:sz w:val="18"/>
          <w:szCs w:val="18"/>
        </w:rPr>
        <w:t xml:space="preserve">이 보고서의 1차 자료는 Accelerated Understanding이 공개한 발표문 전문이다.[1] 본 작업 환경의 네트워크 정책상 acceleratedunderstanding.com을 포함한 외부 웹사이트에 대한 직접 접속이 차단되어, 회사 홈페이지와 explainer 페이지의 원문 열람 및 언론 기사 원문 전문 확인은 수행하지 못했다. 보도 사항은 검색 결과를 통해 확인했으며 매체명과 날짜를 출처에 명시했다. World model 계열 아키텍처에 관한 서술은 2026년 5월 이전 공개 기술 문서에 근거한 일반 지식이며 이번 조사에서 원문 재확인을 거치지 않았다.[18] 해당 부분은 본문에서 그 사실을 밝혔다.</w:t>
      </w:r>
    </w:p>
    <w:p>
      <w:pPr>
        <w:spacing w:after="80" w:line="300"/>
      </w:pPr>
      <w:r>
        <w:rPr>
          <w:b/>
          <w:bCs/>
          <w:sz w:val="20"/>
          <w:szCs w:val="20"/>
        </w:rPr>
        <w:t xml:space="preserve">근거 강도 표기 규칙</w:t>
      </w:r>
    </w:p>
    <w:p>
      <w:pPr>
        <w:spacing w:after="120" w:line="300"/>
      </w:pPr>
      <w:r>
        <w:rPr>
          <w:sz w:val="18"/>
          <w:szCs w:val="18"/>
        </w:rPr>
        <w:t xml:space="preserve">이 보고서는 모든 성능·역량 관련 진술에 다음 네 가지 중 하나의 태그를 붙인다.</w:t>
      </w:r>
    </w:p>
    <w:p>
      <w:pPr>
        <w:pStyle w:val="ListParagraph"/>
        <w:numPr>
          <w:ilvl w:val="0"/>
          <w:numId w:val="1"/>
        </w:numPr>
        <w:spacing w:after="80" w:line="300"/>
      </w:pPr>
      <w:r>
        <w:rPr>
          <w:b/>
          <w:bCs/>
          <w:sz w:val="18"/>
          <w:szCs w:val="18"/>
        </w:rPr>
        <w:t xml:space="preserve">[기업 주장] </w:t>
      </w:r>
      <w:r>
        <w:rPr>
          <w:sz w:val="18"/>
          <w:szCs w:val="18"/>
        </w:rPr>
        <w:t xml:space="preserve">회사 발표문에만 근거하며 외부 확인 수단이 없는 진술.</w:t>
      </w:r>
    </w:p>
    <w:p>
      <w:pPr>
        <w:pStyle w:val="ListParagraph"/>
        <w:numPr>
          <w:ilvl w:val="0"/>
          <w:numId w:val="1"/>
        </w:numPr>
        <w:spacing w:after="80" w:line="300"/>
      </w:pPr>
      <w:r>
        <w:rPr>
          <w:b/>
          <w:bCs/>
          <w:sz w:val="18"/>
          <w:szCs w:val="18"/>
        </w:rPr>
        <w:t xml:space="preserve">[독립 검증됨] </w:t>
      </w:r>
      <w:r>
        <w:rPr>
          <w:sz w:val="18"/>
          <w:szCs w:val="18"/>
        </w:rPr>
        <w:t xml:space="preserve">회사 외부의 동료평가 문헌 또는 제3자 보도·실험으로 확인되는 진술.</w:t>
      </w:r>
    </w:p>
    <w:p>
      <w:pPr>
        <w:pStyle w:val="ListParagraph"/>
        <w:numPr>
          <w:ilvl w:val="0"/>
          <w:numId w:val="1"/>
        </w:numPr>
        <w:spacing w:after="80" w:line="300"/>
      </w:pPr>
      <w:r>
        <w:rPr>
          <w:b/>
          <w:bCs/>
          <w:sz w:val="18"/>
          <w:szCs w:val="18"/>
        </w:rPr>
        <w:t xml:space="preserve">[추론] </w:t>
      </w:r>
      <w:r>
        <w:rPr>
          <w:sz w:val="18"/>
          <w:szCs w:val="18"/>
        </w:rPr>
        <w:t xml:space="preserve">공개된 기술 계보와 일반 원리로부터 분석자가 도출한 판단. 사실 진술이 아니다.</w:t>
      </w:r>
    </w:p>
    <w:p>
      <w:pPr>
        <w:pStyle w:val="ListParagraph"/>
        <w:numPr>
          <w:ilvl w:val="0"/>
          <w:numId w:val="1"/>
        </w:numPr>
        <w:spacing w:after="80" w:line="300"/>
      </w:pPr>
      <w:r>
        <w:rPr>
          <w:b/>
          <w:bCs/>
          <w:sz w:val="18"/>
          <w:szCs w:val="18"/>
        </w:rPr>
        <w:t xml:space="preserve">[반증 가능] </w:t>
      </w:r>
      <w:r>
        <w:rPr>
          <w:sz w:val="18"/>
          <w:szCs w:val="18"/>
        </w:rPr>
        <w:t xml:space="preserve">구체적 실험 설계로 참·거짓을 가릴 수 있는 형태의 주장. 현재 미검증 상태를 뜻한다.</w:t>
      </w:r>
    </w:p>
    <w:p>
      <w:pPr>
        <w:spacing w:after="120" w:line="300"/>
      </w:pPr>
      <w:r>
        <w:rPr>
          <w:sz w:val="18"/>
          <w:szCs w:val="18"/>
        </w:rPr>
        <w:t xml:space="preserve">계열 원리는 검증되었으나 이 회사의 구현은 미확인인 경우 두 태그를 병기하며, 괄호로 태그의 적용 범위를 밝힌다. 예를 들어 [독립 검증됨(계열)]은 기술 계열 수준에서는 확인되었으나 이 회사 구현은 미확인이라는 뜻이다.</w:t>
      </w:r>
    </w:p>
    <w:p>
      <w:pPr>
        <w:pBdr>
          <w:bottom w:val="single" w:color="999999" w:sz="6" w:space="1"/>
        </w:pBdr>
        <w:spacing w:after="160" w:before="40"/>
      </w:pPr>
      <w:r>
        <w:rPr>
          <w:sz w:val="2"/>
          <w:szCs w:val="2"/>
        </w:rPr>
        <w:t xml:space="preserve"/>
      </w:r>
    </w:p>
    <w:p>
      <w:pPr>
        <w:pStyle w:val="Heading1"/>
        <w:spacing w:after="160" w:before="320"/>
      </w:pPr>
      <w:r>
        <w:rPr>
          <w:b/>
          <w:bCs/>
          <w:color w:val="000000"/>
          <w:sz w:val="26"/>
          <w:szCs w:val="26"/>
        </w:rPr>
        <w:t xml:space="preserve">2. 기업 개요</w:t>
      </w:r>
    </w:p>
    <w:p>
      <w:pPr>
        <w:pStyle w:val="Heading2"/>
        <w:spacing w:after="110" w:before="220"/>
      </w:pPr>
      <w:r>
        <w:rPr>
          <w:b/>
          <w:bCs/>
          <w:color w:val="000000"/>
          <w:sz w:val="22"/>
          <w:szCs w:val="22"/>
        </w:rPr>
        <w:t xml:space="preserve">2.1 창업자와 창업 경위</w:t>
      </w:r>
    </w:p>
    <w:p>
      <w:pPr>
        <w:spacing w:after="120" w:line="300"/>
      </w:pPr>
      <w:r>
        <w:rPr>
          <w:sz w:val="20"/>
          <w:szCs w:val="20"/>
        </w:rPr>
        <w:t xml:space="preserve">Anima Anandkumar는 2017년부터 Caltech의 Bren 석좌교수이며, Caltech의 최연소 석좌교수로 소개된다. 2016년부터 2018년까지 Amazon Web Services 수석 과학자, 2018년부터는 NVIDIA의 머신러닝 연구 디렉터를 지냈다.[5] 뉴럴 오퍼레이터를 고안하고 이를 이용해 최초의 AI 기반 고해상도 기상 모델을 학습시킨 연구자로 기술된다.[5][11] 공동 창업자 Benedikt Jenik은 AI 엔지니어이며, 보도에 따르면 Anandkumar의 배우자다.[2]</w:t>
      </w:r>
    </w:p>
    <w:p>
      <w:pPr>
        <w:spacing w:after="120" w:line="300"/>
      </w:pPr>
      <w:r>
        <w:rPr>
          <w:sz w:val="20"/>
          <w:szCs w:val="20"/>
        </w:rPr>
        <w:t xml:space="preserve">두 사람은 2024년 말 Jeff Bezos와 Vik Bajaj가 세운 Project Prometheus의 합류 제안을 거절한 것으로 보도되었다. 제안 조건은 지분 35%, 두 사람 합산 연봉 100만 달러(3개월 근무 후 200만 달러로 인상), Jenik의 이사회 참관인 지위였다고 전해진다. Prometheus는 2026년 6월 120억 달러 규모 시리즈 B를 유치했다.[2] 보도에 따르면 NVIDIA CEO Jensen Huang이 Anandkumar에게 이 구상을 독자적으로 추진할 것을 권했다.[2]</w:t>
      </w:r>
    </w:p>
    <w:p>
      <w:pPr>
        <w:pStyle w:val="Heading2"/>
        <w:spacing w:after="110" w:before="220"/>
      </w:pPr>
      <w:r>
        <w:rPr>
          <w:b/>
          <w:bCs/>
          <w:color w:val="000000"/>
          <w:sz w:val="22"/>
          <w:szCs w:val="22"/>
        </w:rPr>
        <w:t xml:space="preserve">2.2 확인된 사실과 공개 정보 없음 항목</w:t>
      </w:r>
    </w:p>
    <w:p>
      <w:pPr>
        <w:pStyle w:val="ListParagraph"/>
        <w:numPr>
          <w:ilvl w:val="0"/>
          <w:numId w:val="1"/>
        </w:numPr>
        <w:spacing w:after="80" w:line="300"/>
      </w:pPr>
      <w:r>
        <w:rPr>
          <w:sz w:val="20"/>
          <w:szCs w:val="20"/>
        </w:rPr>
        <w:t xml:space="preserve">공개 시점: 2026년 8월 25일 회사 및 모델 공개.[2]</w:t>
      </w:r>
    </w:p>
    <w:p>
      <w:pPr>
        <w:pStyle w:val="ListParagraph"/>
        <w:numPr>
          <w:ilvl w:val="0"/>
          <w:numId w:val="1"/>
        </w:numPr>
        <w:spacing w:after="80" w:line="300"/>
      </w:pPr>
      <w:r>
        <w:rPr>
          <w:sz w:val="20"/>
          <w:szCs w:val="20"/>
        </w:rPr>
        <w:t xml:space="preserve">투자 유치와 기업가치: 공개 정보 없음. 창업자가 자금 관련 언급을 거부했다.[2]</w:t>
      </w:r>
    </w:p>
    <w:p>
      <w:pPr>
        <w:pStyle w:val="ListParagraph"/>
        <w:numPr>
          <w:ilvl w:val="0"/>
          <w:numId w:val="1"/>
        </w:numPr>
        <w:spacing w:after="80" w:line="300"/>
      </w:pPr>
      <w:r>
        <w:rPr>
          <w:sz w:val="20"/>
          <w:szCs w:val="20"/>
        </w:rPr>
        <w:t xml:space="preserve">인력 규모: 공개 정보 없음.</w:t>
      </w:r>
    </w:p>
    <w:p>
      <w:pPr>
        <w:pStyle w:val="ListParagraph"/>
        <w:numPr>
          <w:ilvl w:val="0"/>
          <w:numId w:val="1"/>
        </w:numPr>
        <w:spacing w:after="80" w:line="300"/>
      </w:pPr>
      <w:r>
        <w:rPr>
          <w:sz w:val="20"/>
          <w:szCs w:val="20"/>
        </w:rPr>
        <w:t xml:space="preserve">컴퓨트 확보: 컴퓨팅 제공사와 파트너십을 맺고 하드웨어 클러스터를 제공받았다는 창업자 발언만 확인된다. 파트너명은 비공개.[2] 발표문은 최대 규모 학습 실험이 당시 가용 클러스터 크기에 의해서만 제한되었다고 기술한다.[1]</w:t>
      </w:r>
    </w:p>
    <w:p>
      <w:pPr>
        <w:pStyle w:val="ListParagraph"/>
        <w:numPr>
          <w:ilvl w:val="0"/>
          <w:numId w:val="1"/>
        </w:numPr>
        <w:spacing w:after="80" w:line="300"/>
      </w:pPr>
      <w:r>
        <w:rPr>
          <w:sz w:val="20"/>
          <w:szCs w:val="20"/>
        </w:rPr>
        <w:t xml:space="preserve">고객·파트너 발표: 공개 정보 없음. 실명 고객이 공표된 바 없다는 점을 매체가 지적했다.[3]</w:t>
      </w:r>
    </w:p>
    <w:p>
      <w:pPr>
        <w:pStyle w:val="ListParagraph"/>
        <w:numPr>
          <w:ilvl w:val="0"/>
          <w:numId w:val="1"/>
        </w:numPr>
        <w:spacing w:after="80" w:line="300"/>
      </w:pPr>
      <w:r>
        <w:rPr>
          <w:sz w:val="20"/>
          <w:szCs w:val="20"/>
        </w:rPr>
        <w:t xml:space="preserve">목표 응용 분야: 반도체 칩 설계, 로보틱스, 극한 기상 예측, 에너지 기업용 지질 데이터 해석이 언급되었다.[2] 발표문은 공학 시뮬레이션, 설계, 로보틱스, 지능의 물리적 접지를 든다.[1]</w:t>
      </w:r>
    </w:p>
    <w:p>
      <w:pPr>
        <w:pStyle w:val="Heading1"/>
        <w:spacing w:after="160" w:before="320"/>
      </w:pPr>
      <w:r>
        <w:rPr>
          <w:b/>
          <w:bCs/>
          <w:color w:val="000000"/>
          <w:sz w:val="26"/>
          <w:szCs w:val="26"/>
        </w:rPr>
        <w:t xml:space="preserve">3. 기술 해부</w:t>
      </w:r>
    </w:p>
    <w:p>
      <w:pPr>
        <w:pStyle w:val="Heading2"/>
        <w:spacing w:after="110" w:before="220"/>
      </w:pPr>
      <w:r>
        <w:rPr>
          <w:b/>
          <w:bCs/>
          <w:color w:val="000000"/>
          <w:sz w:val="22"/>
          <w:szCs w:val="22"/>
        </w:rPr>
        <w:t xml:space="preserve">3.1 무엇을 학습하는가</w:t>
      </w:r>
    </w:p>
    <w:p>
      <w:pPr>
        <w:spacing w:after="120" w:line="300"/>
      </w:pPr>
      <w:r>
        <w:rPr>
          <w:sz w:val="20"/>
          <w:szCs w:val="20"/>
        </w:rPr>
        <w:t xml:space="preserve">이 회사는 물리계의 상태를 입력받아 그것이 시간에 따라 어떻게 전개되는지를 예측하는 모델을 학습시킨다고 밝혔다.[1] 개념적으로 이는 특정 격자 위의 숫자 배열을 다른 숫자 배열로 옮기는 학습이 아니라, 함수에서 함수로 가는 사상 자체를 학습하는 접근이다. 뉴럴 오퍼레이터 계열의 정의가 그렇다.[6][7] 이 차이가 실무에서 갖는 뜻은 하나다. 격자를 바꿔도 모델을 다시 학습시킬 필요가 없다는 것이다.[독립 검증됨(계열)]</w:t>
      </w:r>
    </w:p>
    <w:p>
      <w:pPr>
        <w:spacing w:after="120" w:line="300"/>
      </w:pPr>
      <w:r>
        <w:rPr>
          <w:sz w:val="20"/>
          <w:szCs w:val="20"/>
        </w:rPr>
        <w:t xml:space="preserve">이 계열은 주파수 영역에서 사상을 구현한 푸리에 뉴럴 오퍼레이터(FNO)[6]와 입력 함수·평가 위치를 분리해 처리하는 DeepONet[8]의 두 갈래로 발전했고, 여기에 잔차를 손실에 직접 넣는 물리 정보 신경망(Physics-Informed Neural Network, PINN) 계열이 겹친다.[9] 두 흐름을 합친 것이 물리 정보 뉴럴 오퍼레이터이며 Anandkumar도 공동 저자다.[10] 이 회사가 말하는 자기개선 루프는 이 계보의 직접적 연장선으로 읽힌다[추론].</w:t>
      </w:r>
    </w:p>
    <w:p>
      <w:pPr>
        <w:pStyle w:val="Heading2"/>
        <w:spacing w:after="110" w:before="220"/>
      </w:pPr>
      <w:r>
        <w:rPr>
          <w:b/>
          <w:bCs/>
          <w:color w:val="000000"/>
          <w:sz w:val="22"/>
          <w:szCs w:val="22"/>
        </w:rPr>
        <w:t xml:space="preserve">3.2 4D 표현과 컨텍스트의 재정의</w:t>
      </w:r>
    </w:p>
    <w:p>
      <w:pPr>
        <w:spacing w:after="120" w:line="300"/>
      </w:pPr>
      <w:r>
        <w:rPr>
          <w:sz w:val="20"/>
          <w:szCs w:val="20"/>
        </w:rPr>
        <w:t xml:space="preserve">발표문이 가장 힘을 준 대목은 컨텍스트의 정의를 바꾼 부분이다. 언어 모델에서 컨텍스트는 토큰이 늘어선 1차원 길이다. 이 회사는 컨텍스트를 공간 3차원과 시간 1차원을 합한 4차원 격자점의 총수로 정의한다. 발표문의 예시는 각 공간 축 1,000점에 시간 1,000스텝을 곱해 1조라는 계산이다.[1] 같은 문단에서 최신 대형 언어 모델의 컨텍스트를 100만, 실험적으로 1,000만 수준으로 대비시킨다.[1] 즉 5조 컨텍스트라는 숫자는 언어 모델의 컨텍스트와 같은 단위가 아니라 다른 정의 위의 수치이며, 이 점을 인지하지 않으면 규모 비교가 오도될 수 있다[추론].</w:t>
      </w:r>
    </w:p>
    <w:p>
      <w:pPr>
        <w:spacing w:after="120" w:line="300"/>
      </w:pPr>
      <w:r>
        <w:rPr>
          <w:sz w:val="20"/>
          <w:szCs w:val="20"/>
        </w:rPr>
        <w:t xml:space="preserve">회사는 학습 시 최대 1조, 추론 시 5조를 초과하는 컨텍스트를 패칭이나 서브샘플링 같은 우회 기법 없이 처리했고, 5조 컨텍스트에서 단일 추론 출력의 크기가 약 22테라바이트라고 밝혔다.[1][기업 주장] 또한 개별 데이터 샘플 하나가 가속기 한 장은 물론 노드 하나에도 들어가지 않아 FSDP 같은 기존 분산 학습 전략을 버리고 자체 샤딩 전략을 개발했다고 기술한다.[1] 이 서술은 기술적으로 자기 일관성이 있으나, 어느 것도 외부에서 확인할 수 없다.[기업 주장]</w:t>
      </w:r>
    </w:p>
    <w:p>
      <w:pPr>
        <w:pStyle w:val="Heading2"/>
        <w:spacing w:after="110" w:before="220"/>
      </w:pPr>
      <w:r>
        <w:rPr>
          <w:b/>
          <w:bCs/>
          <w:color w:val="000000"/>
          <w:sz w:val="22"/>
          <w:szCs w:val="22"/>
        </w:rPr>
        <w:t xml:space="preserve">3.3 원샷 롤아웃과 해상도 불변</w:t>
      </w:r>
    </w:p>
    <w:p>
      <w:pPr>
        <w:spacing w:after="120" w:line="300"/>
      </w:pPr>
      <w:r>
        <w:rPr>
          <w:sz w:val="20"/>
          <w:szCs w:val="20"/>
        </w:rPr>
        <w:t xml:space="preserve">회사는 시간 전개 전체를 한 번의 추론으로 산출하는 원샷 롤아웃 방식을 쓴다고 밝혔고, 자기회귀 방식이 한 스텝씩 예측하면서 오차를 누적시키는 점을 명시적 대비 대상으로 삼았다.[1] 단계별 오차 전파를 구조적으로 피한다는 논리는 타당하다[추론]. 다만 이것이 곧 장시간 궤적 전체의 정확도 우위를 뜻하지는 않는다. 원샷 방식은 오차를 누적시키지 않는 대신 궤적 전체를 한 번에 맞혀야 하므로 난이도가 다른 방식으로 올라간다[추론].</w:t>
      </w:r>
    </w:p>
    <w:p>
      <w:pPr>
        <w:spacing w:after="120" w:line="300"/>
      </w:pPr>
      <w:r>
        <w:rPr>
          <w:sz w:val="20"/>
          <w:szCs w:val="20"/>
        </w:rPr>
        <w:t xml:space="preserve">해상도 불변에 대해 회사는 학습과 추론 모두에서 임의 해상도로 실행할 수 있어, 설계 초기에는 거친 해상도로 시작해 세부가 정해지면서 점점 조밀하게 가져갈 수 있다고 설명한다.[1] 이산화 불변성 자체는 뉴럴 오퍼레이터 계열의 확립된 성질이다.[6][7][독립 검증됨(계열)] 다만 실행 가능하다는 것과 정확도가 해상도에 무관하게 유지된다는 것은 다른 명제이며, 후자는 이 회사에 대해 확인되지 않았다.</w:t>
      </w:r>
    </w:p>
    <w:p>
      <w:pPr>
        <w:spacing w:after="120" w:line="300"/>
      </w:pPr>
      <w:r>
        <w:rPr>
          <w:sz w:val="20"/>
          <w:szCs w:val="20"/>
        </w:rPr>
        <w:t xml:space="preserve">발표문은 공개 영상이 1,000억 파라미터 미만 규모의 최근 학습 결과이며, 서로 다른 물리 영역이 모두 같은 하나의 모델에서 나왔고, 히트싱크 형상은 학습 시점에 본 적이 없다고 밝혔다.[1][기업 주장] 미학습 형상에 대한 일반화는 원칙적으로 검증 가능한 주장이지만, 평가 조건과 정량 오차가 공개되지 않아 현재로서는 확인 대상이 아니다.[반증 가능]</w:t>
      </w:r>
    </w:p>
    <w:p>
      <w:pPr>
        <w:pStyle w:val="Heading2"/>
        <w:spacing w:after="110" w:before="220"/>
      </w:pPr>
      <w:r>
        <w:rPr>
          <w:b/>
          <w:bCs/>
          <w:color w:val="000000"/>
          <w:sz w:val="22"/>
          <w:szCs w:val="22"/>
        </w:rPr>
        <w:t xml:space="preserve">3.4 자기개선 루프</w:t>
      </w:r>
    </w:p>
    <w:p>
      <w:pPr>
        <w:spacing w:after="120" w:line="300"/>
      </w:pPr>
      <w:r>
        <w:rPr>
          <w:sz w:val="20"/>
          <w:szCs w:val="20"/>
        </w:rPr>
        <w:t xml:space="preserve">회사가 제시한 자기개선 논리는 이렇다. 사이버보안에서 AI가 빠르게 진전한 것은 피드백이 짧고 성공·실패 신호가 분명하기 때문인데, 물리는 여기서 한 걸음 더 나아간다는 것이다. 대부분의 관심 영역에서 지배방정식이 알려져 있어, 해를 찾기는 어렵지만 어떤 결과가 그 방정식을 만족하는지 검사하기는 쉽다는 비대칭이 있다. 게다가 사이버보안이 성공·실패의 이산 신호만 주는 데 비해 물리는 연속적인 점수와 최적화 가능한 그래디언트까지 준다는 것이다.[1]</w:t>
      </w:r>
    </w:p>
    <w:p>
      <w:pPr>
        <w:spacing w:after="120" w:line="300"/>
      </w:pPr>
      <w:r>
        <w:rPr>
          <w:sz w:val="20"/>
          <w:szCs w:val="20"/>
        </w:rPr>
        <w:t xml:space="preserve">이 논리는 물리 정보 학습 계열의 표준 논거이며 근거가 있다.[9][10] 회사는 여기서 한 발 더 나아가 이러한 물리 피드백이 학습 데이터에만 의존하는 상태를 벗어나게 하고 모델 품질을 데이터 품질 이상으로 끌어올린다고 주장한다.[1] 이 마지막 명제는 적용 범위를 명시하지 않은 채 제시되었으며, 뒤의 5장에서 별도로 다룬다.</w:t>
      </w:r>
    </w:p>
    <w:p>
      <w:pPr>
        <w:pStyle w:val="Heading1"/>
        <w:spacing w:after="160" w:before="320"/>
      </w:pPr>
      <w:r>
        <w:rPr>
          <w:b/>
          <w:bCs/>
          <w:color w:val="000000"/>
          <w:sz w:val="26"/>
          <w:szCs w:val="26"/>
        </w:rPr>
        <w:t xml:space="preserve">4. 아키텍처 비교</w:t>
      </w:r>
    </w:p>
    <w:p>
      <w:pPr>
        <w:spacing w:after="120" w:line="300"/>
      </w:pPr>
      <w:r>
        <w:rPr>
          <w:sz w:val="18"/>
          <w:szCs w:val="18"/>
        </w:rPr>
        <w:t xml:space="preserve">아래 표는 트랜스포머 계열, 영상 기반 world model 계열, 기존 수치해석 솔버, 그리고 Accelerated Understanding을 동일한 여덟 개 기준으로 놓고 비교한 것이다. 마지막 열은 전부 회사 주장이며 독립 검증을 거치지 않았다.[1]</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320"/>
        <w:gridCol w:w="2145"/>
        <w:gridCol w:w="2145"/>
        <w:gridCol w:w="2145"/>
        <w:gridCol w:w="2145"/>
      </w:tblGrid>
      <w:tr>
        <w:trPr>
          <w:tblHeader/>
        </w:trPr>
        <w:tc>
          <w:tcPr>
            <w:tcW w:type="dxa" w:w="1320"/>
            <w:shd w:fill="E8E8E8" w:color="auto" w:val="clear"/>
            <w:tcMar>
              <w:top w:type="dxa" w:w="60"/>
              <w:left w:type="dxa" w:w="90"/>
              <w:bottom w:type="dxa" w:w="60"/>
              <w:right w:type="dxa" w:w="90"/>
            </w:tcMar>
          </w:tcPr>
          <w:p>
            <w:pPr>
              <w:spacing w:after="0" w:line="250"/>
            </w:pPr>
            <w:r>
              <w:rPr>
                <w:b/>
                <w:bCs/>
                <w:sz w:val="16"/>
                <w:szCs w:val="16"/>
              </w:rPr>
              <w:t xml:space="preserve">기준</w:t>
            </w:r>
          </w:p>
        </w:tc>
        <w:tc>
          <w:tcPr>
            <w:tcW w:type="dxa" w:w="2145"/>
            <w:shd w:fill="E8E8E8" w:color="auto" w:val="clear"/>
            <w:tcMar>
              <w:top w:type="dxa" w:w="60"/>
              <w:left w:type="dxa" w:w="90"/>
              <w:bottom w:type="dxa" w:w="60"/>
              <w:right w:type="dxa" w:w="90"/>
            </w:tcMar>
          </w:tcPr>
          <w:p>
            <w:pPr>
              <w:spacing w:after="0" w:line="250"/>
            </w:pPr>
            <w:r>
              <w:rPr>
                <w:b/>
                <w:bCs/>
                <w:sz w:val="16"/>
                <w:szCs w:val="16"/>
              </w:rPr>
              <w:t xml:space="preserve">트랜스포머 LLM</w:t>
            </w:r>
          </w:p>
        </w:tc>
        <w:tc>
          <w:tcPr>
            <w:tcW w:type="dxa" w:w="2145"/>
            <w:shd w:fill="E8E8E8" w:color="auto" w:val="clear"/>
            <w:tcMar>
              <w:top w:type="dxa" w:w="60"/>
              <w:left w:type="dxa" w:w="90"/>
              <w:bottom w:type="dxa" w:w="60"/>
              <w:right w:type="dxa" w:w="90"/>
            </w:tcMar>
          </w:tcPr>
          <w:p>
            <w:pPr>
              <w:spacing w:after="0" w:line="250"/>
            </w:pPr>
            <w:r>
              <w:rPr>
                <w:b/>
                <w:bCs/>
                <w:sz w:val="16"/>
                <w:szCs w:val="16"/>
              </w:rPr>
              <w:t xml:space="preserve">World Model(영상 기반)</w:t>
            </w:r>
          </w:p>
        </w:tc>
        <w:tc>
          <w:tcPr>
            <w:tcW w:type="dxa" w:w="2145"/>
            <w:shd w:fill="E8E8E8" w:color="auto" w:val="clear"/>
            <w:tcMar>
              <w:top w:type="dxa" w:w="60"/>
              <w:left w:type="dxa" w:w="90"/>
              <w:bottom w:type="dxa" w:w="60"/>
              <w:right w:type="dxa" w:w="90"/>
            </w:tcMar>
          </w:tcPr>
          <w:p>
            <w:pPr>
              <w:spacing w:after="0" w:line="250"/>
            </w:pPr>
            <w:r>
              <w:rPr>
                <w:b/>
                <w:bCs/>
                <w:sz w:val="16"/>
                <w:szCs w:val="16"/>
              </w:rPr>
              <w:t xml:space="preserve">기존 수치해석 솔버</w:t>
            </w:r>
          </w:p>
        </w:tc>
        <w:tc>
          <w:tcPr>
            <w:tcW w:type="dxa" w:w="2145"/>
            <w:shd w:fill="E8E8E8" w:color="auto" w:val="clear"/>
            <w:tcMar>
              <w:top w:type="dxa" w:w="60"/>
              <w:left w:type="dxa" w:w="90"/>
              <w:bottom w:type="dxa" w:w="60"/>
              <w:right w:type="dxa" w:w="90"/>
            </w:tcMar>
          </w:tcPr>
          <w:p>
            <w:pPr>
              <w:spacing w:after="0" w:line="250"/>
            </w:pPr>
            <w:r>
              <w:rPr>
                <w:b/>
                <w:bCs/>
                <w:sz w:val="16"/>
                <w:szCs w:val="16"/>
              </w:rPr>
              <w:t xml:space="preserve">Accelerated Understanding(회사 주장)</w:t>
            </w:r>
          </w:p>
        </w:tc>
      </w:tr>
      <w:tr>
        <w:trPr>
          <w:tblHeader w:val="false"/>
        </w:trPr>
        <w:tc>
          <w:tcPr>
            <w:tcW w:type="dxa" w:w="1320"/>
            <w:shd w:fill="F5F5F5" w:color="auto" w:val="clear"/>
            <w:tcMar>
              <w:top w:type="dxa" w:w="60"/>
              <w:left w:type="dxa" w:w="90"/>
              <w:bottom w:type="dxa" w:w="60"/>
              <w:right w:type="dxa" w:w="90"/>
            </w:tcMar>
          </w:tcPr>
          <w:p>
            <w:pPr>
              <w:spacing w:after="0" w:line="250"/>
            </w:pPr>
            <w:r>
              <w:rPr>
                <w:b/>
                <w:bCs/>
                <w:sz w:val="16"/>
                <w:szCs w:val="16"/>
              </w:rPr>
              <w:t xml:space="preserve">표현 차원</w:t>
            </w:r>
          </w:p>
        </w:tc>
        <w:tc>
          <w:tcPr>
            <w:tcW w:type="dxa" w:w="2145"/>
            <w:tcMar>
              <w:top w:type="dxa" w:w="60"/>
              <w:left w:type="dxa" w:w="90"/>
              <w:bottom w:type="dxa" w:w="60"/>
              <w:right w:type="dxa" w:w="90"/>
            </w:tcMar>
          </w:tcPr>
          <w:p>
            <w:pPr>
              <w:spacing w:after="0" w:line="250"/>
            </w:pPr>
            <w:r>
              <w:rPr>
                <w:b w:val="false"/>
                <w:bCs w:val="false"/>
                <w:sz w:val="16"/>
                <w:szCs w:val="16"/>
              </w:rPr>
              <w:t xml:space="preserve">1차원 토큰 열</w:t>
            </w:r>
          </w:p>
        </w:tc>
        <w:tc>
          <w:tcPr>
            <w:tcW w:type="dxa" w:w="2145"/>
            <w:tcMar>
              <w:top w:type="dxa" w:w="60"/>
              <w:left w:type="dxa" w:w="90"/>
              <w:bottom w:type="dxa" w:w="60"/>
              <w:right w:type="dxa" w:w="90"/>
            </w:tcMar>
          </w:tcPr>
          <w:p>
            <w:pPr>
              <w:spacing w:after="0" w:line="250"/>
            </w:pPr>
            <w:r>
              <w:rPr>
                <w:b w:val="false"/>
                <w:bCs w:val="false"/>
                <w:sz w:val="16"/>
                <w:szCs w:val="16"/>
              </w:rPr>
              <w:t xml:space="preserve">2차원 화면 + 프레임 축(잠재 표현)</w:t>
            </w:r>
          </w:p>
        </w:tc>
        <w:tc>
          <w:tcPr>
            <w:tcW w:type="dxa" w:w="2145"/>
            <w:tcMar>
              <w:top w:type="dxa" w:w="60"/>
              <w:left w:type="dxa" w:w="90"/>
              <w:bottom w:type="dxa" w:w="60"/>
              <w:right w:type="dxa" w:w="90"/>
            </w:tcMar>
          </w:tcPr>
          <w:p>
            <w:pPr>
              <w:spacing w:after="0" w:line="250"/>
            </w:pPr>
            <w:r>
              <w:rPr>
                <w:b w:val="false"/>
                <w:bCs w:val="false"/>
                <w:sz w:val="16"/>
                <w:szCs w:val="16"/>
              </w:rPr>
              <w:t xml:space="preserve">3차원 격자·메시 + 시간 축</w:t>
            </w:r>
          </w:p>
        </w:tc>
        <w:tc>
          <w:tcPr>
            <w:tcW w:type="dxa" w:w="2145"/>
            <w:tcMar>
              <w:top w:type="dxa" w:w="60"/>
              <w:left w:type="dxa" w:w="90"/>
              <w:bottom w:type="dxa" w:w="60"/>
              <w:right w:type="dxa" w:w="90"/>
            </w:tcMar>
          </w:tcPr>
          <w:p>
            <w:pPr>
              <w:spacing w:after="0" w:line="250"/>
            </w:pPr>
            <w:r>
              <w:rPr>
                <w:b w:val="false"/>
                <w:bCs w:val="false"/>
                <w:sz w:val="16"/>
                <w:szCs w:val="16"/>
              </w:rPr>
              <w:t xml:space="preserve">3차원 공간 + 1차원 시간의 4차원 장(field)</w:t>
            </w:r>
          </w:p>
        </w:tc>
      </w:tr>
      <w:tr>
        <w:trPr>
          <w:tblHeader w:val="false"/>
        </w:trPr>
        <w:tc>
          <w:tcPr>
            <w:tcW w:type="dxa" w:w="1320"/>
            <w:shd w:fill="F5F5F5" w:color="auto" w:val="clear"/>
            <w:tcMar>
              <w:top w:type="dxa" w:w="60"/>
              <w:left w:type="dxa" w:w="90"/>
              <w:bottom w:type="dxa" w:w="60"/>
              <w:right w:type="dxa" w:w="90"/>
            </w:tcMar>
          </w:tcPr>
          <w:p>
            <w:pPr>
              <w:spacing w:after="0" w:line="250"/>
            </w:pPr>
            <w:r>
              <w:rPr>
                <w:b/>
                <w:bCs/>
                <w:sz w:val="16"/>
                <w:szCs w:val="16"/>
              </w:rPr>
              <w:t xml:space="preserve">시간 처리</w:t>
            </w:r>
          </w:p>
        </w:tc>
        <w:tc>
          <w:tcPr>
            <w:tcW w:type="dxa" w:w="2145"/>
            <w:tcMar>
              <w:top w:type="dxa" w:w="60"/>
              <w:left w:type="dxa" w:w="90"/>
              <w:bottom w:type="dxa" w:w="60"/>
              <w:right w:type="dxa" w:w="90"/>
            </w:tcMar>
          </w:tcPr>
          <w:p>
            <w:pPr>
              <w:spacing w:after="0" w:line="250"/>
            </w:pPr>
            <w:r>
              <w:rPr>
                <w:b w:val="false"/>
                <w:bCs w:val="false"/>
                <w:sz w:val="16"/>
                <w:szCs w:val="16"/>
              </w:rPr>
              <w:t xml:space="preserve">다음 토큰 자기회귀</w:t>
            </w:r>
          </w:p>
        </w:tc>
        <w:tc>
          <w:tcPr>
            <w:tcW w:type="dxa" w:w="2145"/>
            <w:tcMar>
              <w:top w:type="dxa" w:w="60"/>
              <w:left w:type="dxa" w:w="90"/>
              <w:bottom w:type="dxa" w:w="60"/>
              <w:right w:type="dxa" w:w="90"/>
            </w:tcMar>
          </w:tcPr>
          <w:p>
            <w:pPr>
              <w:spacing w:after="0" w:line="250"/>
            </w:pPr>
            <w:r>
              <w:rPr>
                <w:b w:val="false"/>
                <w:bCs w:val="false"/>
                <w:sz w:val="16"/>
                <w:szCs w:val="16"/>
              </w:rPr>
              <w:t xml:space="preserve">프레임 단위 자기회귀 또는 확산 생성</w:t>
            </w:r>
          </w:p>
        </w:tc>
        <w:tc>
          <w:tcPr>
            <w:tcW w:type="dxa" w:w="2145"/>
            <w:tcMar>
              <w:top w:type="dxa" w:w="60"/>
              <w:left w:type="dxa" w:w="90"/>
              <w:bottom w:type="dxa" w:w="60"/>
              <w:right w:type="dxa" w:w="90"/>
            </w:tcMar>
          </w:tcPr>
          <w:p>
            <w:pPr>
              <w:spacing w:after="0" w:line="250"/>
            </w:pPr>
            <w:r>
              <w:rPr>
                <w:b w:val="false"/>
                <w:bCs w:val="false"/>
                <w:sz w:val="16"/>
                <w:szCs w:val="16"/>
              </w:rPr>
              <w:t xml:space="preserve">명시적·암시적 시간 적분, 안정 조건 준수</w:t>
            </w:r>
          </w:p>
        </w:tc>
        <w:tc>
          <w:tcPr>
            <w:tcW w:type="dxa" w:w="2145"/>
            <w:tcMar>
              <w:top w:type="dxa" w:w="60"/>
              <w:left w:type="dxa" w:w="90"/>
              <w:bottom w:type="dxa" w:w="60"/>
              <w:right w:type="dxa" w:w="90"/>
            </w:tcMar>
          </w:tcPr>
          <w:p>
            <w:pPr>
              <w:spacing w:after="0" w:line="250"/>
            </w:pPr>
            <w:r>
              <w:rPr>
                <w:b w:val="false"/>
                <w:bCs w:val="false"/>
                <w:sz w:val="16"/>
                <w:szCs w:val="16"/>
              </w:rPr>
              <w:t xml:space="preserve">전체 궤적을 한 번에 산출하는 원샷 롤아웃</w:t>
            </w:r>
          </w:p>
        </w:tc>
      </w:tr>
      <w:tr>
        <w:trPr>
          <w:tblHeader w:val="false"/>
        </w:trPr>
        <w:tc>
          <w:tcPr>
            <w:tcW w:type="dxa" w:w="1320"/>
            <w:shd w:fill="F5F5F5" w:color="auto" w:val="clear"/>
            <w:tcMar>
              <w:top w:type="dxa" w:w="60"/>
              <w:left w:type="dxa" w:w="90"/>
              <w:bottom w:type="dxa" w:w="60"/>
              <w:right w:type="dxa" w:w="90"/>
            </w:tcMar>
          </w:tcPr>
          <w:p>
            <w:pPr>
              <w:spacing w:after="0" w:line="250"/>
            </w:pPr>
            <w:r>
              <w:rPr>
                <w:b/>
                <w:bCs/>
                <w:sz w:val="16"/>
                <w:szCs w:val="16"/>
              </w:rPr>
              <w:t xml:space="preserve">학습 신호</w:t>
            </w:r>
          </w:p>
        </w:tc>
        <w:tc>
          <w:tcPr>
            <w:tcW w:type="dxa" w:w="2145"/>
            <w:tcMar>
              <w:top w:type="dxa" w:w="60"/>
              <w:left w:type="dxa" w:w="90"/>
              <w:bottom w:type="dxa" w:w="60"/>
              <w:right w:type="dxa" w:w="90"/>
            </w:tcMar>
          </w:tcPr>
          <w:p>
            <w:pPr>
              <w:spacing w:after="0" w:line="250"/>
            </w:pPr>
            <w:r>
              <w:rPr>
                <w:b w:val="false"/>
                <w:bCs w:val="false"/>
                <w:sz w:val="16"/>
                <w:szCs w:val="16"/>
              </w:rPr>
              <w:t xml:space="preserve">텍스트 다음 토큰 예측 오차</w:t>
            </w:r>
          </w:p>
        </w:tc>
        <w:tc>
          <w:tcPr>
            <w:tcW w:type="dxa" w:w="2145"/>
            <w:tcMar>
              <w:top w:type="dxa" w:w="60"/>
              <w:left w:type="dxa" w:w="90"/>
              <w:bottom w:type="dxa" w:w="60"/>
              <w:right w:type="dxa" w:w="90"/>
            </w:tcMar>
          </w:tcPr>
          <w:p>
            <w:pPr>
              <w:spacing w:after="0" w:line="250"/>
            </w:pPr>
            <w:r>
              <w:rPr>
                <w:b w:val="false"/>
                <w:bCs w:val="false"/>
                <w:sz w:val="16"/>
                <w:szCs w:val="16"/>
              </w:rPr>
              <w:t xml:space="preserve">영상 재구성 또는 잠재 공간 예측 오차</w:t>
            </w:r>
          </w:p>
        </w:tc>
        <w:tc>
          <w:tcPr>
            <w:tcW w:type="dxa" w:w="2145"/>
            <w:tcMar>
              <w:top w:type="dxa" w:w="60"/>
              <w:left w:type="dxa" w:w="90"/>
              <w:bottom w:type="dxa" w:w="60"/>
              <w:right w:type="dxa" w:w="90"/>
            </w:tcMar>
          </w:tcPr>
          <w:p>
            <w:pPr>
              <w:spacing w:after="0" w:line="250"/>
            </w:pPr>
            <w:r>
              <w:rPr>
                <w:b w:val="false"/>
                <w:bCs w:val="false"/>
                <w:sz w:val="16"/>
                <w:szCs w:val="16"/>
              </w:rPr>
              <w:t xml:space="preserve">학습 없음. 방정식 이산화가 곧 모델</w:t>
            </w:r>
          </w:p>
        </w:tc>
        <w:tc>
          <w:tcPr>
            <w:tcW w:type="dxa" w:w="2145"/>
            <w:tcMar>
              <w:top w:type="dxa" w:w="60"/>
              <w:left w:type="dxa" w:w="90"/>
              <w:bottom w:type="dxa" w:w="60"/>
              <w:right w:type="dxa" w:w="90"/>
            </w:tcMar>
          </w:tcPr>
          <w:p>
            <w:pPr>
              <w:spacing w:after="0" w:line="250"/>
            </w:pPr>
            <w:r>
              <w:rPr>
                <w:b w:val="false"/>
                <w:bCs w:val="false"/>
                <w:sz w:val="16"/>
                <w:szCs w:val="16"/>
              </w:rPr>
              <w:t xml:space="preserve">물리 데이터 + 지배방정식 잔차</w:t>
            </w:r>
          </w:p>
        </w:tc>
      </w:tr>
      <w:tr>
        <w:trPr>
          <w:tblHeader w:val="false"/>
        </w:trPr>
        <w:tc>
          <w:tcPr>
            <w:tcW w:type="dxa" w:w="1320"/>
            <w:shd w:fill="F5F5F5" w:color="auto" w:val="clear"/>
            <w:tcMar>
              <w:top w:type="dxa" w:w="60"/>
              <w:left w:type="dxa" w:w="90"/>
              <w:bottom w:type="dxa" w:w="60"/>
              <w:right w:type="dxa" w:w="90"/>
            </w:tcMar>
          </w:tcPr>
          <w:p>
            <w:pPr>
              <w:spacing w:after="0" w:line="250"/>
            </w:pPr>
            <w:r>
              <w:rPr>
                <w:b/>
                <w:bCs/>
                <w:sz w:val="16"/>
                <w:szCs w:val="16"/>
              </w:rPr>
              <w:t xml:space="preserve">해상도 의존성</w:t>
            </w:r>
          </w:p>
        </w:tc>
        <w:tc>
          <w:tcPr>
            <w:tcW w:type="dxa" w:w="2145"/>
            <w:tcMar>
              <w:top w:type="dxa" w:w="60"/>
              <w:left w:type="dxa" w:w="90"/>
              <w:bottom w:type="dxa" w:w="60"/>
              <w:right w:type="dxa" w:w="90"/>
            </w:tcMar>
          </w:tcPr>
          <w:p>
            <w:pPr>
              <w:spacing w:after="0" w:line="250"/>
            </w:pPr>
            <w:r>
              <w:rPr>
                <w:b w:val="false"/>
                <w:bCs w:val="false"/>
                <w:sz w:val="16"/>
                <w:szCs w:val="16"/>
              </w:rPr>
              <w:t xml:space="preserve">고정 토크나이저·위치 인덱스에 종속</w:t>
            </w:r>
          </w:p>
        </w:tc>
        <w:tc>
          <w:tcPr>
            <w:tcW w:type="dxa" w:w="2145"/>
            <w:tcMar>
              <w:top w:type="dxa" w:w="60"/>
              <w:left w:type="dxa" w:w="90"/>
              <w:bottom w:type="dxa" w:w="60"/>
              <w:right w:type="dxa" w:w="90"/>
            </w:tcMar>
          </w:tcPr>
          <w:p>
            <w:pPr>
              <w:spacing w:after="0" w:line="250"/>
            </w:pPr>
            <w:r>
              <w:rPr>
                <w:b w:val="false"/>
                <w:bCs w:val="false"/>
                <w:sz w:val="16"/>
                <w:szCs w:val="16"/>
              </w:rPr>
              <w:t xml:space="preserve">학습 프레임 해상도에 종속</w:t>
            </w:r>
          </w:p>
        </w:tc>
        <w:tc>
          <w:tcPr>
            <w:tcW w:type="dxa" w:w="2145"/>
            <w:tcMar>
              <w:top w:type="dxa" w:w="60"/>
              <w:left w:type="dxa" w:w="90"/>
              <w:bottom w:type="dxa" w:w="60"/>
              <w:right w:type="dxa" w:w="90"/>
            </w:tcMar>
          </w:tcPr>
          <w:p>
            <w:pPr>
              <w:spacing w:after="0" w:line="250"/>
            </w:pPr>
            <w:r>
              <w:rPr>
                <w:b w:val="false"/>
                <w:bCs w:val="false"/>
                <w:sz w:val="16"/>
                <w:szCs w:val="16"/>
              </w:rPr>
              <w:t xml:space="preserve">격자 조밀도에 계산량 종속, 수렴 검증 가능</w:t>
            </w:r>
          </w:p>
        </w:tc>
        <w:tc>
          <w:tcPr>
            <w:tcW w:type="dxa" w:w="2145"/>
            <w:tcMar>
              <w:top w:type="dxa" w:w="60"/>
              <w:left w:type="dxa" w:w="90"/>
              <w:bottom w:type="dxa" w:w="60"/>
              <w:right w:type="dxa" w:w="90"/>
            </w:tcMar>
          </w:tcPr>
          <w:p>
            <w:pPr>
              <w:spacing w:after="0" w:line="250"/>
            </w:pPr>
            <w:r>
              <w:rPr>
                <w:b w:val="false"/>
                <w:bCs w:val="false"/>
                <w:sz w:val="16"/>
                <w:szCs w:val="16"/>
              </w:rPr>
              <w:t xml:space="preserve">해상도 불변(임의 해상도 실행 주장)</w:t>
            </w:r>
          </w:p>
        </w:tc>
      </w:tr>
      <w:tr>
        <w:trPr>
          <w:tblHeader w:val="false"/>
        </w:trPr>
        <w:tc>
          <w:tcPr>
            <w:tcW w:type="dxa" w:w="1320"/>
            <w:shd w:fill="F5F5F5" w:color="auto" w:val="clear"/>
            <w:tcMar>
              <w:top w:type="dxa" w:w="60"/>
              <w:left w:type="dxa" w:w="90"/>
              <w:bottom w:type="dxa" w:w="60"/>
              <w:right w:type="dxa" w:w="90"/>
            </w:tcMar>
          </w:tcPr>
          <w:p>
            <w:pPr>
              <w:spacing w:after="0" w:line="250"/>
            </w:pPr>
            <w:r>
              <w:rPr>
                <w:b/>
                <w:bCs/>
                <w:sz w:val="16"/>
                <w:szCs w:val="16"/>
              </w:rPr>
              <w:t xml:space="preserve">그래디언트 제공</w:t>
            </w:r>
          </w:p>
        </w:tc>
        <w:tc>
          <w:tcPr>
            <w:tcW w:type="dxa" w:w="2145"/>
            <w:tcMar>
              <w:top w:type="dxa" w:w="60"/>
              <w:left w:type="dxa" w:w="90"/>
              <w:bottom w:type="dxa" w:w="60"/>
              <w:right w:type="dxa" w:w="90"/>
            </w:tcMar>
          </w:tcPr>
          <w:p>
            <w:pPr>
              <w:spacing w:after="0" w:line="250"/>
            </w:pPr>
            <w:r>
              <w:rPr>
                <w:b w:val="false"/>
                <w:bCs w:val="false"/>
                <w:sz w:val="16"/>
                <w:szCs w:val="16"/>
              </w:rPr>
              <w:t xml:space="preserve">입력 토큰에 대한 미분만 가능, 설계 변수와 무관</w:t>
            </w:r>
          </w:p>
        </w:tc>
        <w:tc>
          <w:tcPr>
            <w:tcW w:type="dxa" w:w="2145"/>
            <w:tcMar>
              <w:top w:type="dxa" w:w="60"/>
              <w:left w:type="dxa" w:w="90"/>
              <w:bottom w:type="dxa" w:w="60"/>
              <w:right w:type="dxa" w:w="90"/>
            </w:tcMar>
          </w:tcPr>
          <w:p>
            <w:pPr>
              <w:spacing w:after="0" w:line="250"/>
            </w:pPr>
            <w:r>
              <w:rPr>
                <w:b w:val="false"/>
                <w:bCs w:val="false"/>
                <w:sz w:val="16"/>
                <w:szCs w:val="16"/>
              </w:rPr>
              <w:t xml:space="preserve">픽셀·잠재 변수에 대해 가능하나 물리량이 아님</w:t>
            </w:r>
          </w:p>
        </w:tc>
        <w:tc>
          <w:tcPr>
            <w:tcW w:type="dxa" w:w="2145"/>
            <w:tcMar>
              <w:top w:type="dxa" w:w="60"/>
              <w:left w:type="dxa" w:w="90"/>
              <w:bottom w:type="dxa" w:w="60"/>
              <w:right w:type="dxa" w:w="90"/>
            </w:tcMar>
          </w:tcPr>
          <w:p>
            <w:pPr>
              <w:spacing w:after="0" w:line="250"/>
            </w:pPr>
            <w:r>
              <w:rPr>
                <w:b w:val="false"/>
                <w:bCs w:val="false"/>
                <w:sz w:val="16"/>
                <w:szCs w:val="16"/>
              </w:rPr>
              <w:t xml:space="preserve">수반해석 별도 구현 시 가능, 구현·계산 비용 큼</w:t>
            </w:r>
          </w:p>
        </w:tc>
        <w:tc>
          <w:tcPr>
            <w:tcW w:type="dxa" w:w="2145"/>
            <w:tcMar>
              <w:top w:type="dxa" w:w="60"/>
              <w:left w:type="dxa" w:w="90"/>
              <w:bottom w:type="dxa" w:w="60"/>
              <w:right w:type="dxa" w:w="90"/>
            </w:tcMar>
          </w:tcPr>
          <w:p>
            <w:pPr>
              <w:spacing w:after="0" w:line="250"/>
            </w:pPr>
            <w:r>
              <w:rPr>
                <w:b w:val="false"/>
                <w:bCs w:val="false"/>
                <w:sz w:val="16"/>
                <w:szCs w:val="16"/>
              </w:rPr>
              <w:t xml:space="preserve">설계 변수에 대한 개선 방향을 기본 제공</w:t>
            </w:r>
          </w:p>
        </w:tc>
      </w:tr>
      <w:tr>
        <w:trPr>
          <w:tblHeader w:val="false"/>
        </w:trPr>
        <w:tc>
          <w:tcPr>
            <w:tcW w:type="dxa" w:w="1320"/>
            <w:shd w:fill="F5F5F5" w:color="auto" w:val="clear"/>
            <w:tcMar>
              <w:top w:type="dxa" w:w="60"/>
              <w:left w:type="dxa" w:w="90"/>
              <w:bottom w:type="dxa" w:w="60"/>
              <w:right w:type="dxa" w:w="90"/>
            </w:tcMar>
          </w:tcPr>
          <w:p>
            <w:pPr>
              <w:spacing w:after="0" w:line="250"/>
            </w:pPr>
            <w:r>
              <w:rPr>
                <w:b/>
                <w:bCs/>
                <w:sz w:val="16"/>
                <w:szCs w:val="16"/>
              </w:rPr>
              <w:t xml:space="preserve">검증 가능성</w:t>
            </w:r>
          </w:p>
        </w:tc>
        <w:tc>
          <w:tcPr>
            <w:tcW w:type="dxa" w:w="2145"/>
            <w:tcMar>
              <w:top w:type="dxa" w:w="60"/>
              <w:left w:type="dxa" w:w="90"/>
              <w:bottom w:type="dxa" w:w="60"/>
              <w:right w:type="dxa" w:w="90"/>
            </w:tcMar>
          </w:tcPr>
          <w:p>
            <w:pPr>
              <w:spacing w:after="0" w:line="250"/>
            </w:pPr>
            <w:r>
              <w:rPr>
                <w:b w:val="false"/>
                <w:bCs w:val="false"/>
                <w:sz w:val="16"/>
                <w:szCs w:val="16"/>
              </w:rPr>
              <w:t xml:space="preserve">사실성 검증을 외부 절차에 의존</w:t>
            </w:r>
          </w:p>
        </w:tc>
        <w:tc>
          <w:tcPr>
            <w:tcW w:type="dxa" w:w="2145"/>
            <w:tcMar>
              <w:top w:type="dxa" w:w="60"/>
              <w:left w:type="dxa" w:w="90"/>
              <w:bottom w:type="dxa" w:w="60"/>
              <w:right w:type="dxa" w:w="90"/>
            </w:tcMar>
          </w:tcPr>
          <w:p>
            <w:pPr>
              <w:spacing w:after="0" w:line="250"/>
            </w:pPr>
            <w:r>
              <w:rPr>
                <w:b w:val="false"/>
                <w:bCs w:val="false"/>
                <w:sz w:val="16"/>
                <w:szCs w:val="16"/>
              </w:rPr>
              <w:t xml:space="preserve">시각적 그럴듯함 중심, 물리 오차 정의가 어려움</w:t>
            </w:r>
          </w:p>
        </w:tc>
        <w:tc>
          <w:tcPr>
            <w:tcW w:type="dxa" w:w="2145"/>
            <w:tcMar>
              <w:top w:type="dxa" w:w="60"/>
              <w:left w:type="dxa" w:w="90"/>
              <w:bottom w:type="dxa" w:w="60"/>
              <w:right w:type="dxa" w:w="90"/>
            </w:tcMar>
          </w:tcPr>
          <w:p>
            <w:pPr>
              <w:spacing w:after="0" w:line="250"/>
            </w:pPr>
            <w:r>
              <w:rPr>
                <w:b w:val="false"/>
                <w:bCs w:val="false"/>
                <w:sz w:val="16"/>
                <w:szCs w:val="16"/>
              </w:rPr>
              <w:t xml:space="preserve">격자수렴·V&amp;V·인증 체계가 수십 년간 확립</w:t>
            </w:r>
          </w:p>
        </w:tc>
        <w:tc>
          <w:tcPr>
            <w:tcW w:type="dxa" w:w="2145"/>
            <w:tcMar>
              <w:top w:type="dxa" w:w="60"/>
              <w:left w:type="dxa" w:w="90"/>
              <w:bottom w:type="dxa" w:w="60"/>
              <w:right w:type="dxa" w:w="90"/>
            </w:tcMar>
          </w:tcPr>
          <w:p>
            <w:pPr>
              <w:spacing w:after="0" w:line="250"/>
            </w:pPr>
            <w:r>
              <w:rPr>
                <w:b w:val="false"/>
                <w:bCs w:val="false"/>
                <w:sz w:val="16"/>
                <w:szCs w:val="16"/>
              </w:rPr>
              <w:t xml:space="preserve">잔차 자가 점검은 가능하나 외부 벤치마크 부재</w:t>
            </w:r>
          </w:p>
        </w:tc>
      </w:tr>
      <w:tr>
        <w:trPr>
          <w:tblHeader w:val="false"/>
        </w:trPr>
        <w:tc>
          <w:tcPr>
            <w:tcW w:type="dxa" w:w="1320"/>
            <w:shd w:fill="F5F5F5" w:color="auto" w:val="clear"/>
            <w:tcMar>
              <w:top w:type="dxa" w:w="60"/>
              <w:left w:type="dxa" w:w="90"/>
              <w:bottom w:type="dxa" w:w="60"/>
              <w:right w:type="dxa" w:w="90"/>
            </w:tcMar>
          </w:tcPr>
          <w:p>
            <w:pPr>
              <w:spacing w:after="0" w:line="250"/>
            </w:pPr>
            <w:r>
              <w:rPr>
                <w:b/>
                <w:bCs/>
                <w:sz w:val="16"/>
                <w:szCs w:val="16"/>
              </w:rPr>
              <w:t xml:space="preserve">데이터 요구량</w:t>
            </w:r>
          </w:p>
        </w:tc>
        <w:tc>
          <w:tcPr>
            <w:tcW w:type="dxa" w:w="2145"/>
            <w:tcMar>
              <w:top w:type="dxa" w:w="60"/>
              <w:left w:type="dxa" w:w="90"/>
              <w:bottom w:type="dxa" w:w="60"/>
              <w:right w:type="dxa" w:w="90"/>
            </w:tcMar>
          </w:tcPr>
          <w:p>
            <w:pPr>
              <w:spacing w:after="0" w:line="250"/>
            </w:pPr>
            <w:r>
              <w:rPr>
                <w:b w:val="false"/>
                <w:bCs w:val="false"/>
                <w:sz w:val="16"/>
                <w:szCs w:val="16"/>
              </w:rPr>
              <w:t xml:space="preserve">대규모 텍스트 코퍼스</w:t>
            </w:r>
          </w:p>
        </w:tc>
        <w:tc>
          <w:tcPr>
            <w:tcW w:type="dxa" w:w="2145"/>
            <w:tcMar>
              <w:top w:type="dxa" w:w="60"/>
              <w:left w:type="dxa" w:w="90"/>
              <w:bottom w:type="dxa" w:w="60"/>
              <w:right w:type="dxa" w:w="90"/>
            </w:tcMar>
          </w:tcPr>
          <w:p>
            <w:pPr>
              <w:spacing w:after="0" w:line="250"/>
            </w:pPr>
            <w:r>
              <w:rPr>
                <w:b w:val="false"/>
                <w:bCs w:val="false"/>
                <w:sz w:val="16"/>
                <w:szCs w:val="16"/>
              </w:rPr>
              <w:t xml:space="preserve">대규모 영상 코퍼스</w:t>
            </w:r>
          </w:p>
        </w:tc>
        <w:tc>
          <w:tcPr>
            <w:tcW w:type="dxa" w:w="2145"/>
            <w:tcMar>
              <w:top w:type="dxa" w:w="60"/>
              <w:left w:type="dxa" w:w="90"/>
              <w:bottom w:type="dxa" w:w="60"/>
              <w:right w:type="dxa" w:w="90"/>
            </w:tcMar>
          </w:tcPr>
          <w:p>
            <w:pPr>
              <w:spacing w:after="0" w:line="250"/>
            </w:pPr>
            <w:r>
              <w:rPr>
                <w:b w:val="false"/>
                <w:bCs w:val="false"/>
                <w:sz w:val="16"/>
                <w:szCs w:val="16"/>
              </w:rPr>
              <w:t xml:space="preserve">데이터 불필요. 물성·경계조건 필요</w:t>
            </w:r>
          </w:p>
        </w:tc>
        <w:tc>
          <w:tcPr>
            <w:tcW w:type="dxa" w:w="2145"/>
            <w:tcMar>
              <w:top w:type="dxa" w:w="60"/>
              <w:left w:type="dxa" w:w="90"/>
              <w:bottom w:type="dxa" w:w="60"/>
              <w:right w:type="dxa" w:w="90"/>
            </w:tcMar>
          </w:tcPr>
          <w:p>
            <w:pPr>
              <w:spacing w:after="0" w:line="250"/>
            </w:pPr>
            <w:r>
              <w:rPr>
                <w:b w:val="false"/>
                <w:bCs w:val="false"/>
                <w:sz w:val="16"/>
                <w:szCs w:val="16"/>
              </w:rPr>
              <w:t xml:space="preserve">다중물리 데이터 + 잔차로 데이터 의존 축소 주장</w:t>
            </w:r>
          </w:p>
        </w:tc>
      </w:tr>
      <w:tr>
        <w:trPr>
          <w:tblHeader w:val="false"/>
        </w:trPr>
        <w:tc>
          <w:tcPr>
            <w:tcW w:type="dxa" w:w="1320"/>
            <w:shd w:fill="F5F5F5" w:color="auto" w:val="clear"/>
            <w:tcMar>
              <w:top w:type="dxa" w:w="60"/>
              <w:left w:type="dxa" w:w="90"/>
              <w:bottom w:type="dxa" w:w="60"/>
              <w:right w:type="dxa" w:w="90"/>
            </w:tcMar>
          </w:tcPr>
          <w:p>
            <w:pPr>
              <w:spacing w:after="0" w:line="250"/>
            </w:pPr>
            <w:r>
              <w:rPr>
                <w:b/>
                <w:bCs/>
                <w:sz w:val="16"/>
                <w:szCs w:val="16"/>
              </w:rPr>
              <w:t xml:space="preserve">성숙도</w:t>
            </w:r>
          </w:p>
        </w:tc>
        <w:tc>
          <w:tcPr>
            <w:tcW w:type="dxa" w:w="2145"/>
            <w:tcMar>
              <w:top w:type="dxa" w:w="60"/>
              <w:left w:type="dxa" w:w="90"/>
              <w:bottom w:type="dxa" w:w="60"/>
              <w:right w:type="dxa" w:w="90"/>
            </w:tcMar>
          </w:tcPr>
          <w:p>
            <w:pPr>
              <w:spacing w:after="0" w:line="250"/>
            </w:pPr>
            <w:r>
              <w:rPr>
                <w:b w:val="false"/>
                <w:bCs w:val="false"/>
                <w:sz w:val="16"/>
                <w:szCs w:val="16"/>
              </w:rPr>
              <w:t xml:space="preserve">대량 상용 배포</w:t>
            </w:r>
          </w:p>
        </w:tc>
        <w:tc>
          <w:tcPr>
            <w:tcW w:type="dxa" w:w="2145"/>
            <w:tcMar>
              <w:top w:type="dxa" w:w="60"/>
              <w:left w:type="dxa" w:w="90"/>
              <w:bottom w:type="dxa" w:w="60"/>
              <w:right w:type="dxa" w:w="90"/>
            </w:tcMar>
          </w:tcPr>
          <w:p>
            <w:pPr>
              <w:spacing w:after="0" w:line="250"/>
            </w:pPr>
            <w:r>
              <w:rPr>
                <w:b w:val="false"/>
                <w:bCs w:val="false"/>
                <w:sz w:val="16"/>
                <w:szCs w:val="16"/>
              </w:rPr>
              <w:t xml:space="preserve">연구 및 엔터테인먼트·로보틱스 초기 상용</w:t>
            </w:r>
          </w:p>
        </w:tc>
        <w:tc>
          <w:tcPr>
            <w:tcW w:type="dxa" w:w="2145"/>
            <w:tcMar>
              <w:top w:type="dxa" w:w="60"/>
              <w:left w:type="dxa" w:w="90"/>
              <w:bottom w:type="dxa" w:w="60"/>
              <w:right w:type="dxa" w:w="90"/>
            </w:tcMar>
          </w:tcPr>
          <w:p>
            <w:pPr>
              <w:spacing w:after="0" w:line="250"/>
            </w:pPr>
            <w:r>
              <w:rPr>
                <w:b w:val="false"/>
                <w:bCs w:val="false"/>
                <w:sz w:val="16"/>
                <w:szCs w:val="16"/>
              </w:rPr>
              <w:t xml:space="preserve">산업 표준, 규제 인증에 직접 연동</w:t>
            </w:r>
          </w:p>
        </w:tc>
        <w:tc>
          <w:tcPr>
            <w:tcW w:type="dxa" w:w="2145"/>
            <w:tcMar>
              <w:top w:type="dxa" w:w="60"/>
              <w:left w:type="dxa" w:w="90"/>
              <w:bottom w:type="dxa" w:w="60"/>
              <w:right w:type="dxa" w:w="90"/>
            </w:tcMar>
          </w:tcPr>
          <w:p>
            <w:pPr>
              <w:spacing w:after="0" w:line="250"/>
            </w:pPr>
            <w:r>
              <w:rPr>
                <w:b w:val="false"/>
                <w:bCs w:val="false"/>
                <w:sz w:val="16"/>
                <w:szCs w:val="16"/>
              </w:rPr>
              <w:t xml:space="preserve">미공개 사전 검증 단계, 제3자 검증 없음</w:t>
            </w:r>
          </w:p>
        </w:tc>
      </w:tr>
    </w:tbl>
    <w:p>
      <w:pPr>
        <w:spacing w:after="160" w:line="300"/>
      </w:pPr>
      <w:r>
        <w:rPr>
          <w:sz w:val="12"/>
          <w:szCs w:val="12"/>
        </w:rPr>
        <w:t xml:space="preserve"/>
      </w:r>
    </w:p>
    <w:p>
      <w:pPr>
        <w:pStyle w:val="Heading2"/>
        <w:spacing w:after="110" w:before="220"/>
      </w:pPr>
      <w:r>
        <w:rPr>
          <w:b/>
          <w:bCs/>
          <w:color w:val="000000"/>
          <w:sz w:val="22"/>
          <w:szCs w:val="22"/>
        </w:rPr>
        <w:t xml:space="preserve">4.1 일반 트랜스포머 아키텍처와의 차이</w:t>
      </w:r>
    </w:p>
    <w:p>
      <w:pPr>
        <w:spacing w:after="120" w:line="300"/>
      </w:pPr>
      <w:r>
        <w:rPr>
          <w:sz w:val="20"/>
          <w:szCs w:val="20"/>
        </w:rPr>
        <w:t xml:space="preserve">트랜스포머 기반 언어 모델은 세계를 이산 토큰의 1차원 열로 본다. 텍스트를 고정된 어휘 사전으로 쪼개고, 다음 토큰을 맞히는 오차를 학습 신호로 삼으며, 토큰을 하나씩 이어 붙이는 자기회귀로 생성한다. 이 설계는 언어에는 잘 맞지만 물리계에는 세 가지 지점에서 어긋난다[추론].</w:t>
      </w:r>
    </w:p>
    <w:p>
      <w:pPr>
        <w:pStyle w:val="ListParagraph"/>
        <w:numPr>
          <w:ilvl w:val="0"/>
          <w:numId w:val="1"/>
        </w:numPr>
        <w:spacing w:after="80" w:line="300"/>
      </w:pPr>
      <w:r>
        <w:rPr>
          <w:sz w:val="20"/>
          <w:szCs w:val="20"/>
        </w:rPr>
        <w:t xml:space="preserve">첫째, 이산화 방식이 고정된다. 토크나이저와 위치 인덱스가 정해지면 그 표현 밖으로 나갈 수 없다. 반면 물리계 해석은 같은 문제를 성긴 격자로도 조밀한 격자로도 풀 수 있어야 하고, 격자를 바꿔가며 수렴을 확인하는 절차가 신뢰의 근거다.</w:t>
      </w:r>
    </w:p>
    <w:p>
      <w:pPr>
        <w:pStyle w:val="ListParagraph"/>
        <w:numPr>
          <w:ilvl w:val="0"/>
          <w:numId w:val="1"/>
        </w:numPr>
        <w:spacing w:after="80" w:line="300"/>
      </w:pPr>
      <w:r>
        <w:rPr>
          <w:sz w:val="20"/>
          <w:szCs w:val="20"/>
        </w:rPr>
        <w:t xml:space="preserve">둘째, 학습 신호가 물리와 무관하다. 다음 토큰 예측 오차는 텍스트 분포를 재현할 뿐 질량·운동량·에너지 보존과 아무 관계가 없다. 회사가 언어 모델에 물리적 접지가 없다고 지적하는 지점이 이것이다.[1]</w:t>
      </w:r>
    </w:p>
    <w:p>
      <w:pPr>
        <w:pStyle w:val="ListParagraph"/>
        <w:numPr>
          <w:ilvl w:val="0"/>
          <w:numId w:val="1"/>
        </w:numPr>
        <w:spacing w:after="80" w:line="300"/>
      </w:pPr>
      <w:r>
        <w:rPr>
          <w:sz w:val="20"/>
          <w:szCs w:val="20"/>
        </w:rPr>
        <w:t xml:space="preserve">셋째, 그래디언트의 대상이 다르다. 언어 모델에서도 입력에 대한 미분은 계산되지만 그 대상은 토큰 임베딩이지 날개 두께나 유로 형상 같은 설계 변수가 아니다. 설계 최적화에 쓸 수 있는 미분이 아니다.</w:t>
      </w:r>
    </w:p>
    <w:p>
      <w:pPr>
        <w:spacing w:after="120" w:line="300"/>
      </w:pPr>
      <w:r>
        <w:rPr>
          <w:sz w:val="20"/>
          <w:szCs w:val="20"/>
        </w:rPr>
        <w:t xml:space="preserve">회사가 언어 모델을 배제하는 논거도 이 연장선에 있다. 언어 모델을 에이전트로 세워 기존 시뮬레이션 도구를 호출하게 하는 방식은 지능 계층과 물리 시뮬레이션을 분리하는 것이고, 그 분리가 정확도와 연속적 피드백 양쪽에서 틈을 만든다는 것이다.[1] 이 주장은 아키텍처 논리로서는 일관되지만, 도구 호출형 에이전트 대비 우위를 보인 비교 실험은 제시되지 않았다.[기업 주장]</w:t>
      </w:r>
    </w:p>
    <w:p>
      <w:pPr>
        <w:pStyle w:val="Heading2"/>
        <w:spacing w:after="110" w:before="220"/>
      </w:pPr>
      <w:r>
        <w:rPr>
          <w:b/>
          <w:bCs/>
          <w:color w:val="000000"/>
          <w:sz w:val="22"/>
          <w:szCs w:val="22"/>
        </w:rPr>
        <w:t xml:space="preserve">4.2 World Model과의 차이</w:t>
      </w:r>
    </w:p>
    <w:p>
      <w:pPr>
        <w:spacing w:after="120" w:line="300"/>
      </w:pPr>
      <w:r>
        <w:rPr>
          <w:sz w:val="20"/>
          <w:szCs w:val="20"/>
        </w:rPr>
        <w:t xml:space="preserve">영상 기반 world model 계열은 관측된 영상을 학습해 그럴듯한 다음 장면을 만들어내는 데 최적화되어 있다. 대표적으로 시공간 잠재 패치를 확산 방식으로 생성하는 영상 생성 모델, 프레임 단위 자기회귀로 상호작용 가능한 장면을 만드는 계열, 픽셀 대신 잠재 표현 공간에서 예측하는 계열이 있다.[18] 이 계열의 구조적 전제는 세 가지로 정리된다. 토큰화는 영상 프레임을 압축한 잠재 패치이고, 컨텍스트는 2차원 화면에 프레임 축을 더한 형태이며, 학습 신호는 영상 재구성 또는 잠재 공간 예측 오차다.</w:t>
      </w:r>
    </w:p>
    <w:p>
      <w:pPr>
        <w:spacing w:after="120" w:line="300"/>
      </w:pPr>
      <w:r>
        <w:rPr>
          <w:sz w:val="20"/>
          <w:szCs w:val="20"/>
        </w:rPr>
        <w:t xml:space="preserve">회사는 자신의 접근이 world model과 인접해 보일 수 있음을 인정하면서도 명확히 선을 긋는다. world model이 취하는 지름길이 엔터테인먼트 고객이나 단순 내비게이션 과제에는 허용될 수 있지만 공학에는 부족하고, 드문 경계 사례를 모두 포괄하기 어렵게 만든다는 것이다. 일부는 시간 성분을 아예 제거해 물리적 거동 대부분을 잃고, 시간을 다루는 경우에도 보이는 것에만 집중해 이를 영상처럼 2차원 공간 표현으로 압축하며, 다수가 자기회귀로 동작해 오차가 누적된다고 지적한다.[1]</w:t>
      </w:r>
    </w:p>
    <w:p>
      <w:pPr>
        <w:spacing w:after="120" w:line="300"/>
      </w:pPr>
      <w:r>
        <w:rPr>
          <w:sz w:val="20"/>
          <w:szCs w:val="20"/>
        </w:rPr>
        <w:t xml:space="preserve">전략 검토 관점에서 실질적인 차이는 두 가지다[추론]. 첫째는 표현의 완전성이다. 영상은 3차원 물리계를 카메라 평면에 투영한 결과이므로 내부 압력장이나 응력장처럼 보이지 않는 물리량이 원리적으로 누락된다. 둘째는 학습 신호의 성격이다. 영상 재구성 오차는 시각적 그럴듯함을 높이지만 물리 법칙 위배를 벌하지 않는다. 회사는 4D 표현을 택했기 때문에 관측된 결과의 희소한 신호에 갇히지 않고 알려진 물리 법칙과 제약에 대한 부합도를 직접 최적화할 수 있으며, 이것이 학습 과정을 단순화하고 데이터 수집 필요량을 줄인다고 주장한다.[1][기업 주장]</w:t>
      </w:r>
    </w:p>
    <w:p>
      <w:pPr>
        <w:pStyle w:val="Heading1"/>
        <w:spacing w:after="160" w:before="320"/>
      </w:pPr>
      <w:r>
        <w:rPr>
          <w:b/>
          <w:bCs/>
          <w:color w:val="000000"/>
          <w:sz w:val="26"/>
          <w:szCs w:val="26"/>
        </w:rPr>
        <w:t xml:space="preserve">5. 우월성 주장 검증</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3050"/>
        <w:gridCol w:w="1500"/>
        <w:gridCol w:w="5350"/>
      </w:tblGrid>
      <w:tr>
        <w:trPr>
          <w:tblHeader/>
        </w:trPr>
        <w:tc>
          <w:tcPr>
            <w:tcW w:type="dxa" w:w="3050"/>
            <w:shd w:fill="E8E8E8" w:color="auto" w:val="clear"/>
            <w:tcMar>
              <w:top w:type="dxa" w:w="60"/>
              <w:left w:type="dxa" w:w="90"/>
              <w:bottom w:type="dxa" w:w="60"/>
              <w:right w:type="dxa" w:w="90"/>
            </w:tcMar>
          </w:tcPr>
          <w:p>
            <w:pPr>
              <w:spacing w:after="0" w:line="250"/>
            </w:pPr>
            <w:r>
              <w:rPr>
                <w:b/>
                <w:bCs/>
                <w:sz w:val="16"/>
                <w:szCs w:val="16"/>
              </w:rPr>
              <w:t xml:space="preserve">회사의 주장</w:t>
            </w:r>
          </w:p>
        </w:tc>
        <w:tc>
          <w:tcPr>
            <w:tcW w:type="dxa" w:w="1500"/>
            <w:shd w:fill="E8E8E8" w:color="auto" w:val="clear"/>
            <w:tcMar>
              <w:top w:type="dxa" w:w="60"/>
              <w:left w:type="dxa" w:w="90"/>
              <w:bottom w:type="dxa" w:w="60"/>
              <w:right w:type="dxa" w:w="90"/>
            </w:tcMar>
          </w:tcPr>
          <w:p>
            <w:pPr>
              <w:spacing w:after="0" w:line="250"/>
            </w:pPr>
            <w:r>
              <w:rPr>
                <w:b/>
                <w:bCs/>
                <w:sz w:val="16"/>
                <w:szCs w:val="16"/>
              </w:rPr>
              <w:t xml:space="preserve">태그</w:t>
            </w:r>
          </w:p>
        </w:tc>
        <w:tc>
          <w:tcPr>
            <w:tcW w:type="dxa" w:w="5350"/>
            <w:shd w:fill="E8E8E8" w:color="auto" w:val="clear"/>
            <w:tcMar>
              <w:top w:type="dxa" w:w="60"/>
              <w:left w:type="dxa" w:w="90"/>
              <w:bottom w:type="dxa" w:w="60"/>
              <w:right w:type="dxa" w:w="90"/>
            </w:tcMar>
          </w:tcPr>
          <w:p>
            <w:pPr>
              <w:spacing w:after="0" w:line="250"/>
            </w:pPr>
            <w:r>
              <w:rPr>
                <w:b/>
                <w:bCs/>
                <w:sz w:val="16"/>
                <w:szCs w:val="16"/>
              </w:rPr>
              <w:t xml:space="preserve">근거와 판단</w:t>
            </w:r>
          </w:p>
        </w:tc>
      </w:tr>
      <w:tr>
        <w:trPr>
          <w:tblHeader w:val="false"/>
        </w:trPr>
        <w:tc>
          <w:tcPr>
            <w:tcW w:type="dxa" w:w="3050"/>
            <w:tcMar>
              <w:top w:type="dxa" w:w="60"/>
              <w:left w:type="dxa" w:w="90"/>
              <w:bottom w:type="dxa" w:w="60"/>
              <w:right w:type="dxa" w:w="90"/>
            </w:tcMar>
          </w:tcPr>
          <w:p>
            <w:pPr>
              <w:spacing w:after="0" w:line="250"/>
            </w:pPr>
            <w:r>
              <w:rPr>
                <w:b w:val="false"/>
                <w:bCs w:val="false"/>
                <w:sz w:val="16"/>
                <w:szCs w:val="16"/>
              </w:rPr>
              <w:t xml:space="preserve">뉴럴 오퍼레이터 계열의 비(非)트랜스포머 구조를 쓴다</w:t>
            </w:r>
          </w:p>
        </w:tc>
        <w:tc>
          <w:tcPr>
            <w:tcW w:type="dxa" w:w="1500"/>
            <w:tcMar>
              <w:top w:type="dxa" w:w="60"/>
              <w:left w:type="dxa" w:w="90"/>
              <w:bottom w:type="dxa" w:w="60"/>
              <w:right w:type="dxa" w:w="90"/>
            </w:tcMar>
          </w:tcPr>
          <w:p>
            <w:pPr>
              <w:spacing w:after="0" w:line="250"/>
            </w:pPr>
            <w:r>
              <w:rPr>
                <w:b w:val="false"/>
                <w:bCs w:val="false"/>
                <w:sz w:val="16"/>
                <w:szCs w:val="16"/>
              </w:rPr>
              <w:t xml:space="preserve">독립 검증됨</w:t>
            </w:r>
          </w:p>
        </w:tc>
        <w:tc>
          <w:tcPr>
            <w:tcW w:type="dxa" w:w="5350"/>
            <w:tcMar>
              <w:top w:type="dxa" w:w="60"/>
              <w:left w:type="dxa" w:w="90"/>
              <w:bottom w:type="dxa" w:w="60"/>
              <w:right w:type="dxa" w:w="90"/>
            </w:tcMar>
          </w:tcPr>
          <w:p>
            <w:pPr>
              <w:spacing w:after="0" w:line="250"/>
            </w:pPr>
            <w:r>
              <w:rPr>
                <w:b w:val="false"/>
                <w:bCs w:val="false"/>
                <w:sz w:val="16"/>
                <w:szCs w:val="16"/>
              </w:rPr>
              <w:t xml:space="preserve">복수 매체가 트랜스포머 미사용·뉴럴 오퍼레이터 기반임을 보도했고, 창업자가 해당 계열의 원저자군이라는 사실도 확인된다.[2][3][5][6]</w:t>
            </w:r>
          </w:p>
        </w:tc>
      </w:tr>
      <w:tr>
        <w:trPr>
          <w:tblHeader w:val="false"/>
        </w:trPr>
        <w:tc>
          <w:tcPr>
            <w:tcW w:type="dxa" w:w="3050"/>
            <w:tcMar>
              <w:top w:type="dxa" w:w="60"/>
              <w:left w:type="dxa" w:w="90"/>
              <w:bottom w:type="dxa" w:w="60"/>
              <w:right w:type="dxa" w:w="90"/>
            </w:tcMar>
          </w:tcPr>
          <w:p>
            <w:pPr>
              <w:spacing w:after="0" w:line="250"/>
            </w:pPr>
            <w:r>
              <w:rPr>
                <w:b w:val="false"/>
                <w:bCs w:val="false"/>
                <w:sz w:val="16"/>
                <w:szCs w:val="16"/>
              </w:rPr>
              <w:t xml:space="preserve">3D 공간 + 1D 시간의 완전한 4D 표현으로 시간 전개를 예측한다</w:t>
            </w:r>
          </w:p>
        </w:tc>
        <w:tc>
          <w:tcPr>
            <w:tcW w:type="dxa" w:w="1500"/>
            <w:tcMar>
              <w:top w:type="dxa" w:w="60"/>
              <w:left w:type="dxa" w:w="90"/>
              <w:bottom w:type="dxa" w:w="60"/>
              <w:right w:type="dxa" w:w="90"/>
            </w:tcMar>
          </w:tcPr>
          <w:p>
            <w:pPr>
              <w:spacing w:after="0" w:line="250"/>
            </w:pPr>
            <w:r>
              <w:rPr>
                <w:b w:val="false"/>
                <w:bCs w:val="false"/>
                <w:sz w:val="16"/>
                <w:szCs w:val="16"/>
              </w:rPr>
              <w:t xml:space="preserve">기업 주장</w:t>
            </w:r>
          </w:p>
        </w:tc>
        <w:tc>
          <w:tcPr>
            <w:tcW w:type="dxa" w:w="5350"/>
            <w:tcMar>
              <w:top w:type="dxa" w:w="60"/>
              <w:left w:type="dxa" w:w="90"/>
              <w:bottom w:type="dxa" w:w="60"/>
              <w:right w:type="dxa" w:w="90"/>
            </w:tcMar>
          </w:tcPr>
          <w:p>
            <w:pPr>
              <w:spacing w:after="0" w:line="250"/>
            </w:pPr>
            <w:r>
              <w:rPr>
                <w:b w:val="false"/>
                <w:bCs w:val="false"/>
                <w:sz w:val="16"/>
                <w:szCs w:val="16"/>
              </w:rPr>
              <w:t xml:space="preserve">발표문에만 근거한다.[1] 아키텍처 명세·논문·코드가 공개되지 않아 표현 방식의 실제 구현을 확인할 수 없다.</w:t>
            </w:r>
          </w:p>
        </w:tc>
      </w:tr>
      <w:tr>
        <w:trPr>
          <w:tblHeader w:val="false"/>
        </w:trPr>
        <w:tc>
          <w:tcPr>
            <w:tcW w:type="dxa" w:w="3050"/>
            <w:tcMar>
              <w:top w:type="dxa" w:w="60"/>
              <w:left w:type="dxa" w:w="90"/>
              <w:bottom w:type="dxa" w:w="60"/>
              <w:right w:type="dxa" w:w="90"/>
            </w:tcMar>
          </w:tcPr>
          <w:p>
            <w:pPr>
              <w:spacing w:after="0" w:line="250"/>
            </w:pPr>
            <w:r>
              <w:rPr>
                <w:b w:val="false"/>
                <w:bCs w:val="false"/>
                <w:sz w:val="16"/>
                <w:szCs w:val="16"/>
              </w:rPr>
              <w:t xml:space="preserve">1조 파라미터급 사전학습을 수백 회 수행했고, 35조 파라미터 확장 시험을 마쳤다</w:t>
            </w:r>
          </w:p>
        </w:tc>
        <w:tc>
          <w:tcPr>
            <w:tcW w:type="dxa" w:w="1500"/>
            <w:tcMar>
              <w:top w:type="dxa" w:w="60"/>
              <w:left w:type="dxa" w:w="90"/>
              <w:bottom w:type="dxa" w:w="60"/>
              <w:right w:type="dxa" w:w="90"/>
            </w:tcMar>
          </w:tcPr>
          <w:p>
            <w:pPr>
              <w:spacing w:after="0" w:line="250"/>
            </w:pPr>
            <w:r>
              <w:rPr>
                <w:b w:val="false"/>
                <w:bCs w:val="false"/>
                <w:sz w:val="16"/>
                <w:szCs w:val="16"/>
              </w:rPr>
              <w:t xml:space="preserve">기업 주장</w:t>
            </w:r>
          </w:p>
        </w:tc>
        <w:tc>
          <w:tcPr>
            <w:tcW w:type="dxa" w:w="5350"/>
            <w:tcMar>
              <w:top w:type="dxa" w:w="60"/>
              <w:left w:type="dxa" w:w="90"/>
              <w:bottom w:type="dxa" w:w="60"/>
              <w:right w:type="dxa" w:w="90"/>
            </w:tcMar>
          </w:tcPr>
          <w:p>
            <w:pPr>
              <w:spacing w:after="0" w:line="250"/>
            </w:pPr>
            <w:r>
              <w:rPr>
                <w:b w:val="false"/>
                <w:bCs w:val="false"/>
                <w:sz w:val="16"/>
                <w:szCs w:val="16"/>
              </w:rPr>
              <w:t xml:space="preserve">발표문에만 근거한다.[1] 클러스터 규모·학습 로그·비용이 비공개이며 제3자 확인 수단이 없다.</w:t>
            </w:r>
          </w:p>
        </w:tc>
      </w:tr>
      <w:tr>
        <w:trPr>
          <w:tblHeader w:val="false"/>
        </w:trPr>
        <w:tc>
          <w:tcPr>
            <w:tcW w:type="dxa" w:w="3050"/>
            <w:tcMar>
              <w:top w:type="dxa" w:w="60"/>
              <w:left w:type="dxa" w:w="90"/>
              <w:bottom w:type="dxa" w:w="60"/>
              <w:right w:type="dxa" w:w="90"/>
            </w:tcMar>
          </w:tcPr>
          <w:p>
            <w:pPr>
              <w:spacing w:after="0" w:line="250"/>
            </w:pPr>
            <w:r>
              <w:rPr>
                <w:b w:val="false"/>
                <w:bCs w:val="false"/>
                <w:sz w:val="16"/>
                <w:szCs w:val="16"/>
              </w:rPr>
              <w:t xml:space="preserve">학습 시 1조, 추론 시 5조를 넘는 컨텍스트를 패칭·서브샘플링 없이 처리한다(단일 추론 출력 약 22TB)</w:t>
            </w:r>
          </w:p>
        </w:tc>
        <w:tc>
          <w:tcPr>
            <w:tcW w:type="dxa" w:w="1500"/>
            <w:tcMar>
              <w:top w:type="dxa" w:w="60"/>
              <w:left w:type="dxa" w:w="90"/>
              <w:bottom w:type="dxa" w:w="60"/>
              <w:right w:type="dxa" w:w="90"/>
            </w:tcMar>
          </w:tcPr>
          <w:p>
            <w:pPr>
              <w:spacing w:after="0" w:line="250"/>
            </w:pPr>
            <w:r>
              <w:rPr>
                <w:b w:val="false"/>
                <w:bCs w:val="false"/>
                <w:sz w:val="16"/>
                <w:szCs w:val="16"/>
              </w:rPr>
              <w:t xml:space="preserve">기업 주장 / 반증 가능</w:t>
            </w:r>
          </w:p>
        </w:tc>
        <w:tc>
          <w:tcPr>
            <w:tcW w:type="dxa" w:w="5350"/>
            <w:tcMar>
              <w:top w:type="dxa" w:w="60"/>
              <w:left w:type="dxa" w:w="90"/>
              <w:bottom w:type="dxa" w:w="60"/>
              <w:right w:type="dxa" w:w="90"/>
            </w:tcMar>
          </w:tcPr>
          <w:p>
            <w:pPr>
              <w:spacing w:after="0" w:line="250"/>
            </w:pPr>
            <w:r>
              <w:rPr>
                <w:b w:val="false"/>
                <w:bCs w:val="false"/>
                <w:sz w:val="16"/>
                <w:szCs w:val="16"/>
              </w:rPr>
              <w:t xml:space="preserve">발표문에만 근거한다.[1] 다만 지정 격자·시간 구간에서 전체 출력을 저장·재현시키는 방식으로 참·거짓을 가릴 수 있는 형태의 주장이다.</w:t>
            </w:r>
          </w:p>
        </w:tc>
      </w:tr>
      <w:tr>
        <w:trPr>
          <w:tblHeader w:val="false"/>
        </w:trPr>
        <w:tc>
          <w:tcPr>
            <w:tcW w:type="dxa" w:w="3050"/>
            <w:tcMar>
              <w:top w:type="dxa" w:w="60"/>
              <w:left w:type="dxa" w:w="90"/>
              <w:bottom w:type="dxa" w:w="60"/>
              <w:right w:type="dxa" w:w="90"/>
            </w:tcMar>
          </w:tcPr>
          <w:p>
            <w:pPr>
              <w:spacing w:after="0" w:line="250"/>
            </w:pPr>
            <w:r>
              <w:rPr>
                <w:b w:val="false"/>
                <w:bCs w:val="false"/>
                <w:sz w:val="16"/>
                <w:szCs w:val="16"/>
              </w:rPr>
              <w:t xml:space="preserve">모델이 해상도 불변이어서 임의 해상도로 학습·추론할 수 있다</w:t>
            </w:r>
          </w:p>
        </w:tc>
        <w:tc>
          <w:tcPr>
            <w:tcW w:type="dxa" w:w="1500"/>
            <w:tcMar>
              <w:top w:type="dxa" w:w="60"/>
              <w:left w:type="dxa" w:w="90"/>
              <w:bottom w:type="dxa" w:w="60"/>
              <w:right w:type="dxa" w:w="90"/>
            </w:tcMar>
          </w:tcPr>
          <w:p>
            <w:pPr>
              <w:spacing w:after="0" w:line="250"/>
            </w:pPr>
            <w:r>
              <w:rPr>
                <w:b w:val="false"/>
                <w:bCs w:val="false"/>
                <w:sz w:val="16"/>
                <w:szCs w:val="16"/>
              </w:rPr>
              <w:t xml:space="preserve">독립 검증됨(계열) / 기업 주장(구현)</w:t>
            </w:r>
          </w:p>
        </w:tc>
        <w:tc>
          <w:tcPr>
            <w:tcW w:type="dxa" w:w="5350"/>
            <w:tcMar>
              <w:top w:type="dxa" w:w="60"/>
              <w:left w:type="dxa" w:w="90"/>
              <w:bottom w:type="dxa" w:w="60"/>
              <w:right w:type="dxa" w:w="90"/>
            </w:tcMar>
          </w:tcPr>
          <w:p>
            <w:pPr>
              <w:spacing w:after="0" w:line="250"/>
            </w:pPr>
            <w:r>
              <w:rPr>
                <w:b w:val="false"/>
                <w:bCs w:val="false"/>
                <w:sz w:val="16"/>
                <w:szCs w:val="16"/>
              </w:rPr>
              <w:t xml:space="preserve">이산화 불변성은 뉴럴 오퍼레이터 계열의 확립된 성질이다.[6][7] 다만 정확도가 해상도에 무관하게 유지되는지는 별개 문제이며, 이 회사 구현의 성능은 미확인이다.</w:t>
            </w:r>
          </w:p>
        </w:tc>
      </w:tr>
      <w:tr>
        <w:trPr>
          <w:tblHeader w:val="false"/>
        </w:trPr>
        <w:tc>
          <w:tcPr>
            <w:tcW w:type="dxa" w:w="3050"/>
            <w:tcMar>
              <w:top w:type="dxa" w:w="60"/>
              <w:left w:type="dxa" w:w="90"/>
              <w:bottom w:type="dxa" w:w="60"/>
              <w:right w:type="dxa" w:w="90"/>
            </w:tcMar>
          </w:tcPr>
          <w:p>
            <w:pPr>
              <w:spacing w:after="0" w:line="250"/>
            </w:pPr>
            <w:r>
              <w:rPr>
                <w:b w:val="false"/>
                <w:bCs w:val="false"/>
                <w:sz w:val="16"/>
                <w:szCs w:val="16"/>
              </w:rPr>
              <w:t xml:space="preserve">자기회귀가 아닌 원샷 롤아웃 방식이어서 단계별 오차 누적을 피한다</w:t>
            </w:r>
          </w:p>
        </w:tc>
        <w:tc>
          <w:tcPr>
            <w:tcW w:type="dxa" w:w="1500"/>
            <w:tcMar>
              <w:top w:type="dxa" w:w="60"/>
              <w:left w:type="dxa" w:w="90"/>
              <w:bottom w:type="dxa" w:w="60"/>
              <w:right w:type="dxa" w:w="90"/>
            </w:tcMar>
          </w:tcPr>
          <w:p>
            <w:pPr>
              <w:spacing w:after="0" w:line="250"/>
            </w:pPr>
            <w:r>
              <w:rPr>
                <w:b w:val="false"/>
                <w:bCs w:val="false"/>
                <w:sz w:val="16"/>
                <w:szCs w:val="16"/>
              </w:rPr>
              <w:t xml:space="preserve">추론 / 반증 가능</w:t>
            </w:r>
          </w:p>
        </w:tc>
        <w:tc>
          <w:tcPr>
            <w:tcW w:type="dxa" w:w="5350"/>
            <w:tcMar>
              <w:top w:type="dxa" w:w="60"/>
              <w:left w:type="dxa" w:w="90"/>
              <w:bottom w:type="dxa" w:w="60"/>
              <w:right w:type="dxa" w:w="90"/>
            </w:tcMar>
          </w:tcPr>
          <w:p>
            <w:pPr>
              <w:spacing w:after="0" w:line="250"/>
            </w:pPr>
            <w:r>
              <w:rPr>
                <w:b w:val="false"/>
                <w:bCs w:val="false"/>
                <w:sz w:val="16"/>
                <w:szCs w:val="16"/>
              </w:rPr>
              <w:t xml:space="preserve">단계별 오차 전파를 피한다는 구조적 논리는 타당하다. 그러나 장시간 궤적 전체의 정확도가 자기회귀 방식보다 높은지는 별개이며, 표준 PDE 벤치마크로 검증 가능하다.</w:t>
            </w:r>
          </w:p>
        </w:tc>
      </w:tr>
      <w:tr>
        <w:trPr>
          <w:tblHeader w:val="false"/>
        </w:trPr>
        <w:tc>
          <w:tcPr>
            <w:tcW w:type="dxa" w:w="3050"/>
            <w:tcMar>
              <w:top w:type="dxa" w:w="60"/>
              <w:left w:type="dxa" w:w="90"/>
              <w:bottom w:type="dxa" w:w="60"/>
              <w:right w:type="dxa" w:w="90"/>
            </w:tcMar>
          </w:tcPr>
          <w:p>
            <w:pPr>
              <w:spacing w:after="0" w:line="250"/>
            </w:pPr>
            <w:r>
              <w:rPr>
                <w:b w:val="false"/>
                <w:bCs w:val="false"/>
                <w:sz w:val="16"/>
                <w:szCs w:val="16"/>
              </w:rPr>
              <w:t xml:space="preserve">여러 물리 분야를 함께 학습한 범용 모델이 동일 규모의 개별 특화 모델보다 낫다</w:t>
            </w:r>
          </w:p>
        </w:tc>
        <w:tc>
          <w:tcPr>
            <w:tcW w:type="dxa" w:w="1500"/>
            <w:tcMar>
              <w:top w:type="dxa" w:w="60"/>
              <w:left w:type="dxa" w:w="90"/>
              <w:bottom w:type="dxa" w:w="60"/>
              <w:right w:type="dxa" w:w="90"/>
            </w:tcMar>
          </w:tcPr>
          <w:p>
            <w:pPr>
              <w:spacing w:after="0" w:line="250"/>
            </w:pPr>
            <w:r>
              <w:rPr>
                <w:b w:val="false"/>
                <w:bCs w:val="false"/>
                <w:sz w:val="16"/>
                <w:szCs w:val="16"/>
              </w:rPr>
              <w:t xml:space="preserve">독립 검증됨(방향) / 기업 주장(본 모델)</w:t>
            </w:r>
          </w:p>
        </w:tc>
        <w:tc>
          <w:tcPr>
            <w:tcW w:type="dxa" w:w="5350"/>
            <w:tcMar>
              <w:top w:type="dxa" w:w="60"/>
              <w:left w:type="dxa" w:w="90"/>
              <w:bottom w:type="dxa" w:w="60"/>
              <w:right w:type="dxa" w:w="90"/>
            </w:tcMar>
          </w:tcPr>
          <w:p>
            <w:pPr>
              <w:spacing w:after="0" w:line="250"/>
            </w:pPr>
            <w:r>
              <w:rPr>
                <w:b w:val="false"/>
                <w:bCs w:val="false"/>
                <w:sz w:val="16"/>
                <w:szCs w:val="16"/>
              </w:rPr>
              <w:t xml:space="preserve">다중물리 사전학습이 하류 과제 성능과 표본 효율을 높인다는 결과는 외부 동료평가 문헌에 존재한다.[12][13] 다만 이 회사가 말한 '동일 모델 크기에서의 우위'는 자체 결과이며 수치·설정이 공개되지 않았다.[1]</w:t>
            </w:r>
          </w:p>
        </w:tc>
      </w:tr>
      <w:tr>
        <w:trPr>
          <w:tblHeader w:val="false"/>
        </w:trPr>
        <w:tc>
          <w:tcPr>
            <w:tcW w:type="dxa" w:w="3050"/>
            <w:tcMar>
              <w:top w:type="dxa" w:w="60"/>
              <w:left w:type="dxa" w:w="90"/>
              <w:bottom w:type="dxa" w:w="60"/>
              <w:right w:type="dxa" w:w="90"/>
            </w:tcMar>
          </w:tcPr>
          <w:p>
            <w:pPr>
              <w:spacing w:after="0" w:line="250"/>
            </w:pPr>
            <w:r>
              <w:rPr>
                <w:b w:val="false"/>
                <w:bCs w:val="false"/>
                <w:sz w:val="16"/>
                <w:szCs w:val="16"/>
              </w:rPr>
              <w:t xml:space="preserve">실험·기존 시뮬레이션과 달리 개선 방향(그래디언트)을 제공해 최적화 루프를 닫는다</w:t>
            </w:r>
          </w:p>
        </w:tc>
        <w:tc>
          <w:tcPr>
            <w:tcW w:type="dxa" w:w="1500"/>
            <w:tcMar>
              <w:top w:type="dxa" w:w="60"/>
              <w:left w:type="dxa" w:w="90"/>
              <w:bottom w:type="dxa" w:w="60"/>
              <w:right w:type="dxa" w:w="90"/>
            </w:tcMar>
          </w:tcPr>
          <w:p>
            <w:pPr>
              <w:spacing w:after="0" w:line="250"/>
            </w:pPr>
            <w:r>
              <w:rPr>
                <w:b w:val="false"/>
                <w:bCs w:val="false"/>
                <w:sz w:val="16"/>
                <w:szCs w:val="16"/>
              </w:rPr>
              <w:t xml:space="preserve">독립 검증됨(원리) / 기업 주장(규모)</w:t>
            </w:r>
          </w:p>
        </w:tc>
        <w:tc>
          <w:tcPr>
            <w:tcW w:type="dxa" w:w="5350"/>
            <w:tcMar>
              <w:top w:type="dxa" w:w="60"/>
              <w:left w:type="dxa" w:w="90"/>
              <w:bottom w:type="dxa" w:w="60"/>
              <w:right w:type="dxa" w:w="90"/>
            </w:tcMar>
          </w:tcPr>
          <w:p>
            <w:pPr>
              <w:spacing w:after="0" w:line="250"/>
            </w:pPr>
            <w:r>
              <w:rPr>
                <w:b w:val="false"/>
                <w:bCs w:val="false"/>
                <w:sz w:val="16"/>
                <w:szCs w:val="16"/>
              </w:rPr>
              <w:t xml:space="preserve">미분 가능한 대리모델을 통한 설계 최적화는 확립된 기법이다.[7][10] 차별점은 원리가 아니라 이를 범용 다중물리 규모로 제공한다는 데 있고, 그 부분은 미검증이다.</w:t>
            </w:r>
          </w:p>
        </w:tc>
      </w:tr>
      <w:tr>
        <w:trPr>
          <w:tblHeader w:val="false"/>
        </w:trPr>
        <w:tc>
          <w:tcPr>
            <w:tcW w:type="dxa" w:w="3050"/>
            <w:tcMar>
              <w:top w:type="dxa" w:w="60"/>
              <w:left w:type="dxa" w:w="90"/>
              <w:bottom w:type="dxa" w:w="60"/>
              <w:right w:type="dxa" w:w="90"/>
            </w:tcMar>
          </w:tcPr>
          <w:p>
            <w:pPr>
              <w:spacing w:after="0" w:line="250"/>
            </w:pPr>
            <w:r>
              <w:rPr>
                <w:b w:val="false"/>
                <w:bCs w:val="false"/>
                <w:sz w:val="16"/>
                <w:szCs w:val="16"/>
              </w:rPr>
              <w:t xml:space="preserve">지배방정식 잔차를 학습 신호로 써서 학습 데이터의 품질을 초과할 수 있다</w:t>
            </w:r>
          </w:p>
        </w:tc>
        <w:tc>
          <w:tcPr>
            <w:tcW w:type="dxa" w:w="1500"/>
            <w:tcMar>
              <w:top w:type="dxa" w:w="60"/>
              <w:left w:type="dxa" w:w="90"/>
              <w:bottom w:type="dxa" w:w="60"/>
              <w:right w:type="dxa" w:w="90"/>
            </w:tcMar>
          </w:tcPr>
          <w:p>
            <w:pPr>
              <w:spacing w:after="0" w:line="250"/>
            </w:pPr>
            <w:r>
              <w:rPr>
                <w:b w:val="false"/>
                <w:bCs w:val="false"/>
                <w:sz w:val="16"/>
                <w:szCs w:val="16"/>
              </w:rPr>
              <w:t xml:space="preserve">독립 검증됨(부분) / 반증 가능(일반화)</w:t>
            </w:r>
          </w:p>
        </w:tc>
        <w:tc>
          <w:tcPr>
            <w:tcW w:type="dxa" w:w="5350"/>
            <w:tcMar>
              <w:top w:type="dxa" w:w="60"/>
              <w:left w:type="dxa" w:w="90"/>
              <w:bottom w:type="dxa" w:w="60"/>
              <w:right w:type="dxa" w:w="90"/>
            </w:tcMar>
          </w:tcPr>
          <w:p>
            <w:pPr>
              <w:spacing w:after="0" w:line="250"/>
            </w:pPr>
            <w:r>
              <w:rPr>
                <w:b w:val="false"/>
                <w:bCs w:val="false"/>
                <w:sz w:val="16"/>
                <w:szCs w:val="16"/>
              </w:rPr>
              <w:t xml:space="preserve">물리 정보 신경망·물리 정보 뉴럴 오퍼레이터 계열에서 잔차 활용이 데이터 의존을 낮춘다는 결과는 있다.[9][10] 그러나 '데이터 품질을 초과한다'는 일반 명제는 난류·상변화 등 잔차 최소화가 병태적인 영역에서 성립하지 않을 수 있으며, 회사는 적용 범위를 명시하지 않았다.</w:t>
            </w:r>
          </w:p>
        </w:tc>
      </w:tr>
      <w:tr>
        <w:trPr>
          <w:tblHeader w:val="false"/>
        </w:trPr>
        <w:tc>
          <w:tcPr>
            <w:tcW w:type="dxa" w:w="3050"/>
            <w:tcMar>
              <w:top w:type="dxa" w:w="60"/>
              <w:left w:type="dxa" w:w="90"/>
              <w:bottom w:type="dxa" w:w="60"/>
              <w:right w:type="dxa" w:w="90"/>
            </w:tcMar>
          </w:tcPr>
          <w:p>
            <w:pPr>
              <w:spacing w:after="0" w:line="250"/>
            </w:pPr>
            <w:r>
              <w:rPr>
                <w:b w:val="false"/>
                <w:bCs w:val="false"/>
                <w:sz w:val="16"/>
                <w:szCs w:val="16"/>
              </w:rPr>
              <w:t xml:space="preserve">과학적 발견의 병목이 아이디어에서 실행으로 이동했다</w:t>
            </w:r>
          </w:p>
        </w:tc>
        <w:tc>
          <w:tcPr>
            <w:tcW w:type="dxa" w:w="1500"/>
            <w:tcMar>
              <w:top w:type="dxa" w:w="60"/>
              <w:left w:type="dxa" w:w="90"/>
              <w:bottom w:type="dxa" w:w="60"/>
              <w:right w:type="dxa" w:w="90"/>
            </w:tcMar>
          </w:tcPr>
          <w:p>
            <w:pPr>
              <w:spacing w:after="0" w:line="250"/>
            </w:pPr>
            <w:r>
              <w:rPr>
                <w:b w:val="false"/>
                <w:bCs w:val="false"/>
                <w:sz w:val="16"/>
                <w:szCs w:val="16"/>
              </w:rPr>
              <w:t xml:space="preserve">추론</w:t>
            </w:r>
          </w:p>
        </w:tc>
        <w:tc>
          <w:tcPr>
            <w:tcW w:type="dxa" w:w="5350"/>
            <w:tcMar>
              <w:top w:type="dxa" w:w="60"/>
              <w:left w:type="dxa" w:w="90"/>
              <w:bottom w:type="dxa" w:w="60"/>
              <w:right w:type="dxa" w:w="90"/>
            </w:tcMar>
          </w:tcPr>
          <w:p>
            <w:pPr>
              <w:spacing w:after="0" w:line="250"/>
            </w:pPr>
            <w:r>
              <w:rPr>
                <w:b w:val="false"/>
                <w:bCs w:val="false"/>
                <w:sz w:val="16"/>
                <w:szCs w:val="16"/>
              </w:rPr>
              <w:t xml:space="preserve">회사의 사업 전제다.[1] 분야에 따라 사실인 곳(재료 합성, 공력 설계)과 아닌 곳(가설 자체가 부족한 기초 분야, 규제·자본이 병목인 분야)이 갈리므로 보편 명제로 받아들이기는 어렵다.</w:t>
            </w:r>
          </w:p>
        </w:tc>
      </w:tr>
      <w:tr>
        <w:trPr>
          <w:tblHeader w:val="false"/>
        </w:trPr>
        <w:tc>
          <w:tcPr>
            <w:tcW w:type="dxa" w:w="3050"/>
            <w:tcMar>
              <w:top w:type="dxa" w:w="60"/>
              <w:left w:type="dxa" w:w="90"/>
              <w:bottom w:type="dxa" w:w="60"/>
              <w:right w:type="dxa" w:w="90"/>
            </w:tcMar>
          </w:tcPr>
          <w:p>
            <w:pPr>
              <w:spacing w:after="0" w:line="250"/>
            </w:pPr>
            <w:r>
              <w:rPr>
                <w:b w:val="false"/>
                <w:bCs w:val="false"/>
                <w:sz w:val="16"/>
                <w:szCs w:val="16"/>
              </w:rPr>
              <w:t xml:space="preserve">성능 주장을 뒷받침하는 논문·벤치마크·제3자 검증이 현재 존재하지 않는다(분석자 확인 사항)</w:t>
            </w:r>
          </w:p>
        </w:tc>
        <w:tc>
          <w:tcPr>
            <w:tcW w:type="dxa" w:w="1500"/>
            <w:tcMar>
              <w:top w:type="dxa" w:w="60"/>
              <w:left w:type="dxa" w:w="90"/>
              <w:bottom w:type="dxa" w:w="60"/>
              <w:right w:type="dxa" w:w="90"/>
            </w:tcMar>
          </w:tcPr>
          <w:p>
            <w:pPr>
              <w:spacing w:after="0" w:line="250"/>
            </w:pPr>
            <w:r>
              <w:rPr>
                <w:b w:val="false"/>
                <w:bCs w:val="false"/>
                <w:sz w:val="16"/>
                <w:szCs w:val="16"/>
              </w:rPr>
              <w:t xml:space="preserve">독립 검증됨</w:t>
            </w:r>
          </w:p>
        </w:tc>
        <w:tc>
          <w:tcPr>
            <w:tcW w:type="dxa" w:w="5350"/>
            <w:tcMar>
              <w:top w:type="dxa" w:w="60"/>
              <w:left w:type="dxa" w:w="90"/>
              <w:bottom w:type="dxa" w:w="60"/>
              <w:right w:type="dxa" w:w="90"/>
            </w:tcMar>
          </w:tcPr>
          <w:p>
            <w:pPr>
              <w:spacing w:after="0" w:line="250"/>
            </w:pPr>
            <w:r>
              <w:rPr>
                <w:b w:val="false"/>
                <w:bCs w:val="false"/>
                <w:sz w:val="16"/>
                <w:szCs w:val="16"/>
              </w:rPr>
              <w:t xml:space="preserve">2026년 8월 27일 기준 확인되지 않는다. 복수 매체가 동료평가 벤치마크·공개 고객·재현 가능한 결과의 부재를 명시적으로 지적했다.[3][4]</w:t>
            </w:r>
          </w:p>
        </w:tc>
      </w:tr>
    </w:tbl>
    <w:p>
      <w:pPr>
        <w:spacing w:after="160" w:line="300"/>
      </w:pPr>
      <w:r>
        <w:rPr>
          <w:sz w:val="12"/>
          <w:szCs w:val="12"/>
        </w:rPr>
        <w:t xml:space="preserve"/>
      </w:r>
    </w:p>
    <w:p>
      <w:pPr>
        <w:pStyle w:val="Heading2"/>
        <w:spacing w:after="110" w:before="220"/>
      </w:pPr>
      <w:r>
        <w:rPr>
          <w:b/>
          <w:bCs/>
          <w:color w:val="000000"/>
          <w:sz w:val="22"/>
          <w:szCs w:val="22"/>
        </w:rPr>
        <w:t xml:space="preserve">5.1 범용 다중물리 모델이 개별 특화 모델보다 낫다는 주장</w:t>
      </w:r>
    </w:p>
    <w:p>
      <w:pPr>
        <w:spacing w:after="120" w:line="300"/>
      </w:pPr>
      <w:r>
        <w:rPr>
          <w:sz w:val="20"/>
          <w:szCs w:val="20"/>
        </w:rPr>
        <w:t xml:space="preserve">회사는 언어 모델이 하나의 큰 모델로 다양한 과제를 푸는 것이 과제별 좁은 모델보다 낫다는 점을 입증했고, 물리 AI에서도 같은 결과를 확인했다고 밝혔다. 여러 물리를 함께 학습한 모델이 동일한 모델 크기에서 개별 과제로 학습한 모델보다 우수했다는 것이다.[1] 또한 좁은 모델은 데이터 가용성 문제를 안는데, 산업 현장에서 데이터가 풍부한 구간은 대개 실제 관심 영역에서 멀고, 관심 영역의 데이터는 범용 모델을 미세조정하기에는 충분해도 독립적인 좁은 서로게이트를 세우기에는 부족하다고 주장한다.[1]</w:t>
      </w:r>
    </w:p>
    <w:p>
      <w:pPr>
        <w:spacing w:after="120" w:line="300"/>
      </w:pPr>
      <w:r>
        <w:rPr>
          <w:b/>
          <w:bCs/>
          <w:sz w:val="20"/>
          <w:szCs w:val="20"/>
        </w:rPr>
        <w:t xml:space="preserve">판단. </w:t>
      </w:r>
      <w:r>
        <w:rPr>
          <w:sz w:val="20"/>
          <w:szCs w:val="20"/>
        </w:rPr>
        <w:t xml:space="preserve">이 주장의 방향성은 회사 밖 문헌에서 지지된다. 다중물리 사전학습이 하류 과제의 표본 효율과 정확도를 높이고 학습 시 보지 않은 물리로도 일반화된다는 결과가 동료평가 문헌에 보고되어 있다.[12][13][독립 검증됨(방향)] 따라서 이 항목은 이 회사의 독창적 가설이라기보다 학계에서 이미 형성되고 있는 합의에 가깝다. 반면 이 회사 모델에 대한 구체적 수치, 비교 대상 모델의 설계, 평가 과제 구성은 전혀 공개되지 않았으므로 본 모델 수준에서는 검증되지 않았다.[기업 주장] 데이터 가용성 논거는 산업 현장 경험과 부합하는 서술이나 정량 근거가 제시되지 않았다.[추론]</w:t>
      </w:r>
    </w:p>
    <w:p>
      <w:pPr>
        <w:pStyle w:val="Heading2"/>
        <w:spacing w:after="110" w:before="220"/>
      </w:pPr>
      <w:r>
        <w:rPr>
          <w:b/>
          <w:bCs/>
          <w:color w:val="000000"/>
          <w:sz w:val="22"/>
          <w:szCs w:val="22"/>
        </w:rPr>
        <w:t xml:space="preserve">5.2 개선 방향(그래디언트)을 제공한다는 주장 — 이 회사 사업의 핵심</w:t>
      </w:r>
    </w:p>
    <w:p>
      <w:pPr>
        <w:spacing w:after="120" w:line="300"/>
      </w:pPr>
      <w:r>
        <w:rPr>
          <w:sz w:val="20"/>
          <w:szCs w:val="20"/>
        </w:rPr>
        <w:t xml:space="preserve">이 회사가 무엇을 파는지를 결정하는 대목이므로 풀어서 설명한다. 실험이든 기존 수치해석이든 산출물은 결과값 하나다. 이 날개 형상의 항력은 얼마인가에 답할 뿐, 항력을 줄이려면 어느 지점의 곡률을 어느 방향으로 얼마나 바꿔야 하는지는 말해주지 않는다. 그래서 설계자는 조건을 조금 바꿔 다시 돌리고 결과를 비교한다. 이것이 회사가 말하는 느리고 고통스러운 추측의 반복이다.[1]</w:t>
      </w:r>
    </w:p>
    <w:p>
      <w:pPr>
        <w:spacing w:after="120" w:line="300"/>
      </w:pPr>
      <w:r>
        <w:rPr>
          <w:sz w:val="20"/>
          <w:szCs w:val="20"/>
        </w:rPr>
        <w:t xml:space="preserve">미분 가능한 모델은 여기서 성격이 달라진다. 결과값과 함께 그 결과가 설계 변수 각각에 대해 얼마나 민감한지를 동시에 내놓기 때문이다. 목표와 제약을 정해두면 최적화 알고리즘이 이 민감도를 따라 설계를 직접 갱신할 수 있고, 사람이 다음 시도를 고르지 않아도 루프가 자동으로 돌아간다. 회사가 엔지니어링이 추측 반복에서 제약과 목표를 설정하면 모델이 알아서 푸는 방식으로 이동한다고 말할 때 가리키는 것이 이 구조다.[1] 사업적으로 보면 이 회사가 파는 것은 빠른 시뮬레이션이 아니라 닫힌 설계 최적화 루프다[추론].</w:t>
      </w:r>
    </w:p>
    <w:p>
      <w:pPr>
        <w:spacing w:after="120" w:line="300"/>
      </w:pPr>
      <w:r>
        <w:rPr>
          <w:b/>
          <w:bCs/>
          <w:sz w:val="20"/>
          <w:szCs w:val="20"/>
        </w:rPr>
        <w:t xml:space="preserve">판단. </w:t>
      </w:r>
      <w:r>
        <w:rPr>
          <w:sz w:val="20"/>
          <w:szCs w:val="20"/>
        </w:rPr>
        <w:t xml:space="preserve">미분 가능한 대리모델로 설계 최적화 루프를 닫는 기법 자체는 이미 확립되어 있고, 기존 수치해석에도 수반해석이라는 대응 경로가 있다.[7][10][독립 검증됨(원리)] 따라서 이 항목의 차별점은 원리가 아니라 적용 범위다. 즉 과제 하나에 특화된 대리모델이 아니라 여러 물리를 아우르는 범용 모델에서 이 성질을 제공한다는 부분이 새로운 주장이고, 그 부분은 미검증이다.[기업 주장] 실무 관점의 위험 요인도 분명하다. 학습된 모델의 그래디언트는 모델이 잘 맞는 영역에서만 신뢰할 수 있다. 최적화가 모델의 오차가 큰 영역으로 설계를 밀어 넣으면 겉보기 성능만 좋은 해에 도달하는 문제가 생길 수 있으며, 이는 대리모델 기반 최적화에서 알려진 실패 양상이다[추론].</w:t>
      </w:r>
    </w:p>
    <w:p>
      <w:pPr>
        <w:pStyle w:val="Heading2"/>
        <w:spacing w:after="110" w:before="220"/>
      </w:pPr>
      <w:r>
        <w:rPr>
          <w:b/>
          <w:bCs/>
          <w:color w:val="000000"/>
          <w:sz w:val="22"/>
          <w:szCs w:val="22"/>
        </w:rPr>
        <w:t xml:space="preserve">5.3 물리 법칙 잔차로 학습 데이터 품질을 넘어설 수 있다는 주장</w:t>
      </w:r>
    </w:p>
    <w:p>
      <w:pPr>
        <w:spacing w:after="120" w:line="300"/>
      </w:pPr>
      <w:r>
        <w:rPr>
          <w:sz w:val="20"/>
          <w:szCs w:val="20"/>
        </w:rPr>
        <w:t xml:space="preserve">회사는 해를 찾기는 어렵지만 어떤 결과가 지배방정식을 만족하는지 검사하기는 쉽다는 비대칭을 근거로, 이 검사 신호가 개선 루프를 구동하며 학습 데이터에만 의존하는 상태를 벗어나 모델 품질을 데이터 품질 이상으로 끌어올린다고 주장한다.[1]</w:t>
      </w:r>
    </w:p>
    <w:p>
      <w:pPr>
        <w:spacing w:after="120" w:line="300"/>
      </w:pPr>
      <w:r>
        <w:rPr>
          <w:b/>
          <w:bCs/>
          <w:sz w:val="20"/>
          <w:szCs w:val="20"/>
        </w:rPr>
        <w:t xml:space="preserve">판단. </w:t>
      </w:r>
      <w:r>
        <w:rPr>
          <w:sz w:val="20"/>
          <w:szCs w:val="20"/>
        </w:rPr>
        <w:t xml:space="preserve">비대칭 자체는 사실이고, 잔차를 학습 신호로 쓰는 접근이 데이터 의존을 낮춘다는 결과도 문헌에 있다.[9][10][독립 검증됨(부분)] 그러나 데이터 품질을 초과한다는 일반 명제는 성립 조건이 좁다[추론]. 잔차가 0에 가까운 해가 물리적으로 유일하지 않은 경우, 초기·경계 조건이 불완전한 경우, 난류나 상변화처럼 잔차 최소화가 수치적으로 병태적인 경우에는 잔차를 낮추는 것이 정확도를 높이지 않을 수 있다. 또한 지배방정식이 근사 모델인 영역(난류 모델, 구성방정식이 경험적인 재료)에서는 잔차가 참값이 아니라 근사식에 대한 부합도를 잴 뿐이다. 회사는 적용 범위를 명시하지 않았고, 이 명제는 영역별로 나누어 검증해야 할 성격의 주장이다.[반증 가능]</w:t>
      </w:r>
    </w:p>
    <w:p>
      <w:pPr>
        <w:pStyle w:val="Heading2"/>
        <w:spacing w:after="110" w:before="220"/>
      </w:pPr>
      <w:r>
        <w:rPr>
          <w:b/>
          <w:bCs/>
          <w:color w:val="000000"/>
          <w:sz w:val="22"/>
          <w:szCs w:val="22"/>
        </w:rPr>
        <w:t xml:space="preserve">5.4 우월성이 성립하지 않는 조건</w:t>
      </w:r>
    </w:p>
    <w:p>
      <w:pPr>
        <w:spacing w:after="120" w:line="300"/>
      </w:pPr>
      <w:r>
        <w:rPr>
          <w:sz w:val="20"/>
          <w:szCs w:val="20"/>
        </w:rPr>
        <w:t xml:space="preserve">아래 조건에서는 기존 수치해석 솔루션이 여전히 대체 불가능하다[추론].</w:t>
      </w:r>
    </w:p>
    <w:p>
      <w:pPr>
        <w:pStyle w:val="ListParagraph"/>
        <w:numPr>
          <w:ilvl w:val="0"/>
          <w:numId w:val="1"/>
        </w:numPr>
        <w:spacing w:after="80" w:line="300"/>
      </w:pPr>
      <w:r>
        <w:rPr>
          <w:b/>
          <w:bCs/>
          <w:sz w:val="20"/>
          <w:szCs w:val="20"/>
        </w:rPr>
        <w:t xml:space="preserve">규제·인증이 결과물에 결부된 경우. </w:t>
      </w:r>
      <w:r>
        <w:rPr>
          <w:sz w:val="20"/>
          <w:szCs w:val="20"/>
        </w:rPr>
        <w:t xml:space="preserve">항공기 감항 증명, 원자로 안전해석, 압력용기·구조물 인증, 의료기기 및 신약 규제 제출에는 검증·확인(V&amp;V) 문서와 격자수렴 증거가 요구된다. 오차 상한을 증명하지 못하는 모델은 제출 자격을 얻지 못하며, 이는 정확도가 아니라 제도의 문제다.</w:t>
      </w:r>
    </w:p>
    <w:p>
      <w:pPr>
        <w:pStyle w:val="ListParagraph"/>
        <w:numPr>
          <w:ilvl w:val="0"/>
          <w:numId w:val="1"/>
        </w:numPr>
        <w:spacing w:after="80" w:line="300"/>
      </w:pPr>
      <w:r>
        <w:rPr>
          <w:b/>
          <w:bCs/>
          <w:sz w:val="20"/>
          <w:szCs w:val="20"/>
        </w:rPr>
        <w:t xml:space="preserve">오차 상한 보증이 필요한 경우. </w:t>
      </w:r>
      <w:r>
        <w:rPr>
          <w:sz w:val="20"/>
          <w:szCs w:val="20"/>
        </w:rPr>
        <w:t xml:space="preserve">수치해석은 격자를 조밀하게 하면 참해에 수렴한다는 사전 보장이 있고 오차를 정량화할 절차가 있다. 학습 모델은 학습 분포 밖에서 오차가 얼마나 커지는지에 대한 사전 보장이 없다.</w:t>
      </w:r>
    </w:p>
    <w:p>
      <w:pPr>
        <w:pStyle w:val="ListParagraph"/>
        <w:numPr>
          <w:ilvl w:val="0"/>
          <w:numId w:val="1"/>
        </w:numPr>
        <w:spacing w:after="80" w:line="300"/>
      </w:pPr>
      <w:r>
        <w:rPr>
          <w:b/>
          <w:bCs/>
          <w:sz w:val="20"/>
          <w:szCs w:val="20"/>
        </w:rPr>
        <w:t xml:space="preserve">물리 영역 자체가 까다로운 경우. </w:t>
      </w:r>
      <w:r>
        <w:rPr>
          <w:sz w:val="20"/>
          <w:szCs w:val="20"/>
        </w:rPr>
        <w:t xml:space="preserve">충격파와 접촉 불연속, 파괴·균열 진전, 다상 유동과 상변화, 화학 반응이 결합된 연소, 그리고 장시간 카오스 궤적처럼 미세한 차이가 발산하는 문제군이 해당한다. 이런 영역은 기존 솔버에도 어렵지만, 학습 모델은 오차 상한을 제시하지 못한다는 부담이 추가된다.</w:t>
      </w:r>
    </w:p>
    <w:p>
      <w:pPr>
        <w:pStyle w:val="ListParagraph"/>
        <w:numPr>
          <w:ilvl w:val="0"/>
          <w:numId w:val="1"/>
        </w:numPr>
        <w:spacing w:after="80" w:line="300"/>
      </w:pPr>
      <w:r>
        <w:rPr>
          <w:b/>
          <w:bCs/>
          <w:sz w:val="20"/>
          <w:szCs w:val="20"/>
        </w:rPr>
        <w:t xml:space="preserve">데이터가 존재하지 않는 신규 설계 공간. </w:t>
      </w:r>
      <w:r>
        <w:rPr>
          <w:sz w:val="20"/>
          <w:szCs w:val="20"/>
        </w:rPr>
        <w:t xml:space="preserve">수치해석은 데이터 없이도 물성과 경계조건만으로 계산이 성립한다. 학습 모델은 잔차 신호로 이를 일부 보완할 수 있으나, 앞선 5.3의 성립 조건에 걸린다.</w:t>
      </w:r>
    </w:p>
    <w:p>
      <w:pPr>
        <w:pStyle w:val="ListParagraph"/>
        <w:numPr>
          <w:ilvl w:val="0"/>
          <w:numId w:val="1"/>
        </w:numPr>
        <w:spacing w:after="80" w:line="300"/>
      </w:pPr>
      <w:r>
        <w:rPr>
          <w:b/>
          <w:bCs/>
          <w:sz w:val="20"/>
          <w:szCs w:val="20"/>
        </w:rPr>
        <w:t xml:space="preserve">설명 책임이 요구되는 경우. </w:t>
      </w:r>
      <w:r>
        <w:rPr>
          <w:sz w:val="20"/>
          <w:szCs w:val="20"/>
        </w:rPr>
        <w:t xml:space="preserve">사고 조사, 법적 분쟁, 공적 자금이 투입된 사업의 사후 감사에서는 결과에 이르는 계산 경로를 재현하고 설명할 수 있어야 한다. 가중치가 비공개인 모델의 출력은 이 요건을 충족하기 어렵다.</w:t>
      </w:r>
    </w:p>
    <w:p>
      <w:pPr>
        <w:spacing w:after="120" w:line="300"/>
      </w:pPr>
      <w:r>
        <w:rPr>
          <w:sz w:val="20"/>
          <w:szCs w:val="20"/>
        </w:rPr>
        <w:t xml:space="preserve">정리하면 현실적인 배치는 대체가 아니라 계층 분리다. 학습 모델이 앞단에서 넓은 설계 공간을 빠르게 훑고, 좁혀진 후보를 기존 솔버와 실험이 뒤에서 인증한다. 회사 자신도 결과를 실험실이나 기존 절차로 최종 확인할 수 있다는 점을 명시하고 있어[1], 이 계층 구조와 배치되지 않는다.</w:t>
      </w:r>
    </w:p>
    <w:p>
      <w:pPr>
        <w:pStyle w:val="Heading1"/>
        <w:spacing w:after="160" w:before="320"/>
      </w:pPr>
      <w:r>
        <w:rPr>
          <w:b/>
          <w:bCs/>
          <w:color w:val="000000"/>
          <w:sz w:val="26"/>
          <w:szCs w:val="26"/>
        </w:rPr>
        <w:t xml:space="preserve">6. 학문적·정책적 영향</w:t>
      </w:r>
    </w:p>
    <w:p>
      <w:pPr>
        <w:pStyle w:val="Heading2"/>
        <w:spacing w:after="110" w:before="220"/>
      </w:pPr>
      <w:r>
        <w:rPr>
          <w:b/>
          <w:bCs/>
          <w:color w:val="000000"/>
          <w:sz w:val="22"/>
          <w:szCs w:val="22"/>
        </w:rPr>
        <w:t xml:space="preserve">6.1 병목이 아이디어에서 실행으로 이동했다는 전제의 타당성</w:t>
      </w:r>
    </w:p>
    <w:p>
      <w:pPr>
        <w:spacing w:after="120" w:line="300"/>
      </w:pPr>
      <w:r>
        <w:rPr>
          <w:sz w:val="20"/>
          <w:szCs w:val="20"/>
        </w:rPr>
        <w:t xml:space="preserve">회사의 사업 전제는 AI가 발전하고 지능이 흔해질수록 병목이 새 아이디어를 내는 데서 그것을 실행하고 개선하는 데로 옮겨간다는 것이다. 실험실 자동화는 이를 조금 개선할 뿐 병목을 없애지 못하므로 실험 자체를 물리를 이해하는 AI로 대체한다는 것이다.[1]</w:t>
      </w:r>
    </w:p>
    <w:p>
      <w:pPr>
        <w:spacing w:after="120" w:line="300"/>
      </w:pPr>
      <w:r>
        <w:rPr>
          <w:sz w:val="20"/>
          <w:szCs w:val="20"/>
        </w:rPr>
        <w:t xml:space="preserve">이 전제는 분야에 따라 갈린다[추론]. 설계 공간이 넓고 평가가 비싼 분야에서는 타당하다. 공력·열유동 설계, 배터리 전극·셀 설계, 반도체 배선·열 설계, 촉매와 합금 탐색이 여기에 든다. 반면 가설 자체가 부족한 기초 분야, 그리고 병목이 계산이 아니라 규제 승인·임상 기간·자본 조달·공급망인 분야에서는 전제가 그대로 적용되지 않는다. 신약 개발은 후자의 대표 사례로, 후보 물질 탐색을 아무리 가속해도 임상 3상 기간은 줄지 않는다. 따라서 이 전제는 보편 명제가 아니라 특정 산업군에 대한 조건부 명제로 읽는 것이 정확하다. 같은 병목 인식에서 정반대 처방을 택한 사례도 있다. Periodic Labs는 실험을 대체하는 대신 자율 실험실로 실험 자체를 자동화하는 쪽에 3억 달러 규모 시드를 유치했다.[15] 두 접근 중 무엇이 옳은지는 아직 결정되지 않았다.</w:t>
      </w:r>
    </w:p>
    <w:p>
      <w:pPr>
        <w:pStyle w:val="Heading2"/>
        <w:spacing w:after="110" w:before="220"/>
      </w:pPr>
      <w:r>
        <w:rPr>
          <w:b/>
          <w:bCs/>
          <w:color w:val="000000"/>
          <w:sz w:val="22"/>
          <w:szCs w:val="22"/>
        </w:rPr>
        <w:t xml:space="preserve">6.2 분야별로 무엇이 바뀌는가</w:t>
      </w:r>
    </w:p>
    <w:p>
      <w:pPr>
        <w:pStyle w:val="ListParagraph"/>
        <w:numPr>
          <w:ilvl w:val="0"/>
          <w:numId w:val="1"/>
        </w:numPr>
        <w:spacing w:after="80" w:line="300"/>
      </w:pPr>
      <w:r>
        <w:rPr>
          <w:b/>
          <w:bCs/>
          <w:sz w:val="20"/>
          <w:szCs w:val="20"/>
        </w:rPr>
        <w:t xml:space="preserve">계산과학. </w:t>
      </w:r>
      <w:r>
        <w:rPr>
          <w:sz w:val="20"/>
          <w:szCs w:val="20"/>
        </w:rPr>
        <w:t xml:space="preserve">계산의 단가가 떨어지면 연구 설계가 바뀐다. 지금까지는 계산 예산이 실험 횟수를 제한했으므로 연구자가 소수의 조건을 신중히 고르는 방식이 합리적이었다. 대리모델이 충분히 빨라지면 넓게 훑고 나중에 좁히는 방식이 합리적이 된다. 동시에 계산 자원 배분과 슈퍼컴퓨팅 센터의 역할이 재정의된다. 대규모 학습용 가속기 클러스터의 비중이 커지고, 전통적 HPC 워크로드와의 자원 경쟁이 발생한다[추론].</w:t>
      </w:r>
    </w:p>
    <w:p>
      <w:pPr>
        <w:pStyle w:val="ListParagraph"/>
        <w:numPr>
          <w:ilvl w:val="0"/>
          <w:numId w:val="1"/>
        </w:numPr>
        <w:spacing w:after="80" w:line="300"/>
      </w:pPr>
      <w:r>
        <w:rPr>
          <w:b/>
          <w:bCs/>
          <w:sz w:val="20"/>
          <w:szCs w:val="20"/>
        </w:rPr>
        <w:t xml:space="preserve">전산유체역학(Computational Fluid Dynamics, CFD). </w:t>
      </w:r>
      <w:r>
        <w:rPr>
          <w:sz w:val="20"/>
          <w:szCs w:val="20"/>
        </w:rPr>
        <w:t xml:space="preserve">가장 먼저 영향을 받을 분야다. 이미 기상 분야에서 뉴럴 오퍼레이터 계열이 수치예보 대비 수만 배 속도로 비교 가능한 정확도를 낸 사례가 있다.[11] 설계 초기 단계의 형상 탐색은 대리모델로 이동하고, 기존 솔버는 최종 검증과 인증 산출물 생성으로 역할이 좁아질 가능성이 크다[추론]. 다만 난류 모델링, 박리·재부착, 공력 소음처럼 기존 솔버도 실험 보정에 의존하는 영역에서는 대리모델의 신뢰 구간이 좁아지지 않는다.</w:t>
      </w:r>
    </w:p>
    <w:p>
      <w:pPr>
        <w:pStyle w:val="ListParagraph"/>
        <w:numPr>
          <w:ilvl w:val="0"/>
          <w:numId w:val="1"/>
        </w:numPr>
        <w:spacing w:after="80" w:line="300"/>
      </w:pPr>
      <w:r>
        <w:rPr>
          <w:b/>
          <w:bCs/>
          <w:sz w:val="20"/>
          <w:szCs w:val="20"/>
        </w:rPr>
        <w:t xml:space="preserve">재료 설계. </w:t>
      </w:r>
      <w:r>
        <w:rPr>
          <w:sz w:val="20"/>
          <w:szCs w:val="20"/>
        </w:rPr>
        <w:t xml:space="preserve">탐색 공간이 조합적으로 크고 실험 한 건의 비용이 높아 대리모델의 이득이 크다. 다만 재료 분야는 합성 가능성과 공정 재현성이 별도 병목이므로, 예측 가속이 곧 발견 가속으로 이어지지 않는다. 자율 실험실 계열과 결합할 때 실효가 커진다[추론].</w:t>
      </w:r>
    </w:p>
    <w:p>
      <w:pPr>
        <w:pStyle w:val="ListParagraph"/>
        <w:numPr>
          <w:ilvl w:val="0"/>
          <w:numId w:val="1"/>
        </w:numPr>
        <w:spacing w:after="80" w:line="300"/>
      </w:pPr>
      <w:r>
        <w:rPr>
          <w:b/>
          <w:bCs/>
          <w:sz w:val="20"/>
          <w:szCs w:val="20"/>
        </w:rPr>
        <w:t xml:space="preserve">로보틱스. </w:t>
      </w:r>
      <w:r>
        <w:rPr>
          <w:sz w:val="20"/>
          <w:szCs w:val="20"/>
        </w:rPr>
        <w:t xml:space="preserve">핵심은 시뮬레이션과 현실의 격차를 좁히는 문제다. 접촉·마찰·변형체 거동은 기존 물리엔진이 근사에 의존하는 영역이고, 여기서 정확도가 오르면 학습된 제어 정책의 현실 이전 성공률이 올라간다. 다만 로보틱스는 실시간성이 제약이므로, 22테라바이트 규모 추론과 같은 대규모 설정은 설계 단계에는 쓰여도 제어 루프 안에는 들어갈 수 없다[추론]. 회사는 로보틱스를 응용 분야로 들지만[1][2] 실시간 추론 성능에 관한 수치는 제시하지 않았다.</w:t>
      </w:r>
    </w:p>
    <w:p>
      <w:pPr>
        <w:pStyle w:val="Heading2"/>
        <w:spacing w:after="110" w:before="220"/>
      </w:pPr>
      <w:r>
        <w:rPr>
          <w:b/>
          <w:bCs/>
          <w:color w:val="000000"/>
          <w:sz w:val="22"/>
          <w:szCs w:val="22"/>
        </w:rPr>
        <w:t xml:space="preserve">6.3 검증과 재현성 — 가장 중요한 정책 쟁점</w:t>
      </w:r>
    </w:p>
    <w:p>
      <w:pPr>
        <w:spacing w:after="120" w:line="300"/>
      </w:pPr>
      <w:r>
        <w:rPr>
          <w:sz w:val="20"/>
          <w:szCs w:val="20"/>
        </w:rPr>
        <w:t xml:space="preserve">이 회사의 사례가 드러내는 문제는 개별 기업의 문제가 아니라 제도의 문제다. 대규모 물리 AI의 성능 주장은 현재 학계가 검증할 수단을 갖고 있지 않다. 모델 가중치, 학습 데이터, 평가 설정이 모두 비공개인 상태에서 발표된 수치는 원리적으로 재현 불가능하다. 실제로 이 회사에 대해서도 동료평가 벤치마크와 재현 가능한 결과의 부재가 지적되었다.[3][4]</w:t>
      </w:r>
    </w:p>
    <w:p>
      <w:pPr>
        <w:spacing w:after="120" w:line="300"/>
      </w:pPr>
      <w:r>
        <w:rPr>
          <w:sz w:val="20"/>
          <w:szCs w:val="20"/>
        </w:rPr>
        <w:t xml:space="preserve">대응 방향은 세 갈래로 정리된다[추론].</w:t>
      </w:r>
    </w:p>
    <w:p>
      <w:pPr>
        <w:pStyle w:val="ListParagraph"/>
        <w:numPr>
          <w:ilvl w:val="0"/>
          <w:numId w:val="1"/>
        </w:numPr>
        <w:spacing w:after="80" w:line="300"/>
      </w:pPr>
      <w:r>
        <w:rPr>
          <w:b/>
          <w:bCs/>
          <w:sz w:val="20"/>
          <w:szCs w:val="20"/>
        </w:rPr>
        <w:t xml:space="preserve">공개 벤치마크의 정비. </w:t>
      </w:r>
      <w:r>
        <w:rPr>
          <w:sz w:val="20"/>
          <w:szCs w:val="20"/>
        </w:rPr>
        <w:t xml:space="preserve">물리 AI에는 언어 모델의 표준 평가에 해당하는 공인 체계가 없다. 필요한 것은 정답이 알려진 해석해 문제군, 고신뢰 수치해가 존재하는 표준 문제군, 그리고 학습 분포 밖 일반화를 재는 문제군을 분리한 평가 세트다. 특히 오차의 평균이 아니라 최악값과 보존량 위배 정도를 함께 재야 한다.</w:t>
      </w:r>
    </w:p>
    <w:p>
      <w:pPr>
        <w:pStyle w:val="ListParagraph"/>
        <w:numPr>
          <w:ilvl w:val="0"/>
          <w:numId w:val="1"/>
        </w:numPr>
        <w:spacing w:after="80" w:line="300"/>
      </w:pPr>
      <w:r>
        <w:rPr>
          <w:b/>
          <w:bCs/>
          <w:sz w:val="20"/>
          <w:szCs w:val="20"/>
        </w:rPr>
        <w:t xml:space="preserve">동료평가 기준의 조정. </w:t>
      </w:r>
      <w:r>
        <w:rPr>
          <w:sz w:val="20"/>
          <w:szCs w:val="20"/>
        </w:rPr>
        <w:t xml:space="preserve">학술지는 모델 기반 결과에 대해 오차 정량화, 학습 분포 명시, 외삽 영역 표시를 필수 항목으로 요구할 필요가 있다. 결과의 재현이 불가능하다면 최소한 오차 특성의 재현은 요구되어야 한다.</w:t>
      </w:r>
    </w:p>
    <w:p>
      <w:pPr>
        <w:pStyle w:val="ListParagraph"/>
        <w:numPr>
          <w:ilvl w:val="0"/>
          <w:numId w:val="1"/>
        </w:numPr>
        <w:spacing w:after="80" w:line="300"/>
      </w:pPr>
      <w:r>
        <w:rPr>
          <w:b/>
          <w:bCs/>
          <w:sz w:val="20"/>
          <w:szCs w:val="20"/>
        </w:rPr>
        <w:t xml:space="preserve">인증 체계의 단계적 수용. </w:t>
      </w:r>
      <w:r>
        <w:rPr>
          <w:sz w:val="20"/>
          <w:szCs w:val="20"/>
        </w:rPr>
        <w:t xml:space="preserve">감항·구조·원자력 인증에 학습 모델을 즉시 받아들이는 것은 현실적이지 않다. 현실적 경로는 학습 모델을 인증 산출물이 아니라 설계 탐색 단계의 도구로 규정하고, 인증 대상 계산은 기존 솔버로 재수행하도록 역할을 명확히 나누는 것이다. 그 다음 단계에서 특정 문제군에 한해 오차 상한이 통계적으로 입증된 모델을 조건부로 수용하는 방식이 논의될 수 있다.</w:t>
      </w:r>
    </w:p>
    <w:p>
      <w:pPr>
        <w:pStyle w:val="Heading2"/>
        <w:spacing w:after="110" w:before="220"/>
      </w:pPr>
      <w:r>
        <w:rPr>
          <w:b/>
          <w:bCs/>
          <w:color w:val="000000"/>
          <w:sz w:val="22"/>
          <w:szCs w:val="22"/>
        </w:rPr>
        <w:t xml:space="preserve">6.4 경쟁 지형</w:t>
      </w:r>
    </w:p>
    <w:p>
      <w:pPr>
        <w:spacing w:after="120" w:line="300"/>
      </w:pPr>
      <w:r>
        <w:rPr>
          <w:sz w:val="20"/>
          <w:szCs w:val="20"/>
        </w:rPr>
        <w:t xml:space="preserve">인접 플레이어는 세 갈래로 나뉜다. 첫째, 물리 AI 전업 기업이다. PhysicsX는 2026년 6월 Temasek 주도로 3억 달러 시리즈 C를 유치했고 기업가치는 약 24억 달러로 보도되었으며, 누적 조달액은 4억 8,900만 달러다. 투자자에 NVIDIA와 Siemens가 포함되어 있어 기존 산업계와의 연결이 강하다.[14] 유럽에는 Neural Concept과 Emmi AI가 산업 공학용 AI 시뮬레이션 기업으로 거론되며, Emmi AI는 실시간 시뮬레이션과 디지털 트윈을 지향하는 것으로 소개된다.[14] 두 회사의 조달 규모와 제품 성숙도는 본 조사에서 확인하지 못했다.</w:t>
      </w:r>
    </w:p>
    <w:p>
      <w:pPr>
        <w:spacing w:after="120" w:line="300"/>
      </w:pPr>
      <w:r>
        <w:rPr>
          <w:sz w:val="20"/>
          <w:szCs w:val="20"/>
        </w:rPr>
        <w:t xml:space="preserve">둘째, 플랫폼과 기존 CAE 벤더다. NVIDIA는 PhysicsNeMo(구 Modulus)를 오픈소스 물리 AI 프레임워크로 제공하고 Omniverse를 시각화·디지털 트윈 계층으로 두고 있다. Ansys는 차세대 RedHawk-SC에 AI 대리모델 통합을 검토했고, Siemens는 Teamcenter와 Simcenter STAR-CCM+ 전반에 NVIDIA 기술을 통합하고 있다.[16] SimScale은 이 프레임워크 위에서 터보기계 시뮬레이션용 파운데이션 모델을 발표했다.[17] 즉 이 시장은 신생 기업이 진공 상태에 진입하는 곳이 아니라, 이미 산업 표준을 쥔 벤더들이 같은 기술을 자기 제품에 흡수하고 있는 곳이다[추론].</w:t>
      </w:r>
    </w:p>
    <w:p>
      <w:pPr>
        <w:spacing w:after="120" w:line="300"/>
      </w:pPr>
      <w:r>
        <w:rPr>
          <w:sz w:val="20"/>
          <w:szCs w:val="20"/>
        </w:rPr>
        <w:t xml:space="preserve">셋째, 정반대 처방을 택한 자율 실험실 계열이다. Periodic Labs는 2025년 9월 a16z 주도로 3억 달러 시드를 유치했고 투자 후 기업가치는 13억 달러였다.[15] Accelerated Understanding은 실험실 자동화가 병목을 해소하지 못한다고 명시적으로 반박하고 있어[1], 두 진영은 같은 문제에 대한 경쟁 가설로 볼 수 있다.</w:t>
      </w:r>
    </w:p>
    <w:p>
      <w:pPr>
        <w:spacing w:after="120" w:line="300"/>
      </w:pPr>
      <w:r>
        <w:rPr>
          <w:sz w:val="20"/>
          <w:szCs w:val="20"/>
        </w:rPr>
        <w:t xml:space="preserve">이 지형에서 Accelerated Understanding의 상대적 위치는 자금 규모가 아니라 기술적 야심의 크기로 정의된다[추론]. 경쟁사들이 특정 산업 도메인이나 기존 CAE 워크플로 보강에 집중하는 데 비해, 이 회사는 물리 전반을 아우르는 단일 범용 모델이라는 훨씬 큰 베팅을 하고 있다.</w:t>
      </w:r>
    </w:p>
    <w:p>
      <w:pPr>
        <w:pStyle w:val="Heading1"/>
        <w:spacing w:after="160" w:before="320"/>
      </w:pPr>
      <w:r>
        <w:rPr>
          <w:b/>
          <w:bCs/>
          <w:color w:val="000000"/>
          <w:sz w:val="26"/>
          <w:szCs w:val="26"/>
        </w:rPr>
        <w:t xml:space="preserve">7. 이 기술 선택이 왜 국가적으로 중요한가</w:t>
      </w:r>
    </w:p>
    <w:p>
      <w:pPr>
        <w:spacing w:after="120" w:line="300"/>
      </w:pPr>
      <w:r>
        <w:rPr>
          <w:sz w:val="20"/>
          <w:szCs w:val="20"/>
        </w:rPr>
        <w:t xml:space="preserve">이 회사의 기술 선택 하나하나는 국가 차원의 함의를 갖는다. 아래는 회사 주장의 진위와 무관하게, 이 방향이 실현될 경우 무엇이 걸리는지를 정리한 것이다[추론].</w:t>
      </w:r>
    </w:p>
    <w:p>
      <w:pPr>
        <w:pStyle w:val="ListParagraph"/>
        <w:numPr>
          <w:ilvl w:val="0"/>
          <w:numId w:val="1"/>
        </w:numPr>
        <w:spacing w:after="80" w:line="300"/>
      </w:pPr>
      <w:r>
        <w:rPr>
          <w:b/>
          <w:bCs/>
          <w:sz w:val="20"/>
          <w:szCs w:val="20"/>
        </w:rPr>
        <w:t xml:space="preserve">설계 역량이 시뮬레이션 소프트웨어 라이선스에서 모델 가중치로 이동한다. </w:t>
      </w:r>
      <w:r>
        <w:rPr>
          <w:sz w:val="20"/>
          <w:szCs w:val="20"/>
        </w:rPr>
        <w:t xml:space="preserve">지금까지 산업 설계 역량은 상용 CAE 소프트웨어와 그것을 다루는 엔지니어의 숙련에 얹혀 있었다. 물리 AI가 설계 루프의 앞단을 차지하면 역량의 소재가 학습된 모델 가중치와 그것을 학습시킨 데이터로 옮겨간다. 소프트웨어는 구매할 수 있지만 가중치는 판매되지 않을 수 있다. 이는 공급 안보의 성격을 바꾼다.</w:t>
      </w:r>
    </w:p>
    <w:p>
      <w:pPr>
        <w:pStyle w:val="ListParagraph"/>
        <w:numPr>
          <w:ilvl w:val="0"/>
          <w:numId w:val="1"/>
        </w:numPr>
        <w:spacing w:after="80" w:line="300"/>
      </w:pPr>
      <w:r>
        <w:rPr>
          <w:b/>
          <w:bCs/>
          <w:sz w:val="20"/>
          <w:szCs w:val="20"/>
        </w:rPr>
        <w:t xml:space="preserve">학습 데이터가 새로운 전략 자산이 된다. </w:t>
      </w:r>
      <w:r>
        <w:rPr>
          <w:sz w:val="20"/>
          <w:szCs w:val="20"/>
        </w:rPr>
        <w:t xml:space="preserve">회사 자신이 산업 현장 데이터의 희소성을 좁은 모델의 근본 한계로 지목했다.[1] 뒤집으면 고품질 다중물리 데이터, 특히 실측으로 검증된 시뮬레이션 데이터와 실험 데이터의 축적이 그대로 진입 장벽이 된다. 국내 제조업이 수십 년간 쌓은 해석·시험 데이터는 현재 기업별로 흩어져 사장되어 있으며, 이를 표준화하고 결합할 수 있는지가 향후 경쟁력을 좌우한다.</w:t>
      </w:r>
    </w:p>
    <w:p>
      <w:pPr>
        <w:pStyle w:val="ListParagraph"/>
        <w:numPr>
          <w:ilvl w:val="0"/>
          <w:numId w:val="1"/>
        </w:numPr>
        <w:spacing w:after="80" w:line="300"/>
      </w:pPr>
      <w:r>
        <w:rPr>
          <w:b/>
          <w:bCs/>
          <w:sz w:val="20"/>
          <w:szCs w:val="20"/>
        </w:rPr>
        <w:t xml:space="preserve">컴퓨트 접근이 곧 연구 참여 자격이 된다. </w:t>
      </w:r>
      <w:r>
        <w:rPr>
          <w:sz w:val="20"/>
          <w:szCs w:val="20"/>
        </w:rPr>
        <w:t xml:space="preserve">회사는 최대 규모 학습 실험이 가용 클러스터 크기에 의해서만 제한되었다고 밝혔다.[1] 이 진술이 사실이라면 이 분야의 상한선은 알고리즘이 아니라 확보한 가속기 규모가 정한다는 뜻이다. 대규모 물리 AI 학습이 가능한 국가 단위 컴퓨트 자원 없이는 검증조차 수행할 수 없다.</w:t>
      </w:r>
    </w:p>
    <w:p>
      <w:pPr>
        <w:pStyle w:val="ListParagraph"/>
        <w:numPr>
          <w:ilvl w:val="0"/>
          <w:numId w:val="1"/>
        </w:numPr>
        <w:spacing w:after="80" w:line="300"/>
      </w:pPr>
      <w:r>
        <w:rPr>
          <w:b/>
          <w:bCs/>
          <w:sz w:val="20"/>
          <w:szCs w:val="20"/>
        </w:rPr>
        <w:t xml:space="preserve">검증 역량이 없으면 기술 도입 결정을 스스로 내릴 수 없다. </w:t>
      </w:r>
      <w:r>
        <w:rPr>
          <w:sz w:val="20"/>
          <w:szCs w:val="20"/>
        </w:rPr>
        <w:t xml:space="preserve">이 보고서에서 반복해 확인된 사실은 이 회사의 주장을 현재 아무도 독립적으로 확인할 수 없다는 것이다. 이것은 이 회사에만 해당하는 문제가 아니라 앞으로 등장할 모든 물리 AI에 해당한다. 공인된 벤치마크와 이를 운영할 중립 기관이 없으면, 도입 여부를 벤더의 발표문과 해외 매체의 보도에 의존해 판단하게 된다. 벤치마크 구축은 연구 인프라가 아니라 의사결정 주권의 문제다.</w:t>
      </w:r>
    </w:p>
    <w:p>
      <w:pPr>
        <w:pStyle w:val="ListParagraph"/>
        <w:numPr>
          <w:ilvl w:val="0"/>
          <w:numId w:val="1"/>
        </w:numPr>
        <w:spacing w:after="80" w:line="300"/>
      </w:pPr>
      <w:r>
        <w:rPr>
          <w:b/>
          <w:bCs/>
          <w:sz w:val="20"/>
          <w:szCs w:val="20"/>
        </w:rPr>
        <w:t xml:space="preserve">규제·인증 체계가 준비되지 않으면 국내 산업만 이중 부담을 진다. </w:t>
      </w:r>
      <w:r>
        <w:rPr>
          <w:sz w:val="20"/>
          <w:szCs w:val="20"/>
        </w:rPr>
        <w:t xml:space="preserve">해외 기업이 물리 AI로 설계 주기를 단축하는 동안 국내 인증 체계가 학습 모델을 전혀 수용하지 못하면, 국내 기업은 앞단을 가속해도 뒷단에서 병목이 유지된다. 반대로 검증 없이 성급히 수용하면 안전 사고의 책임 소재가 불분명해진다. 앞의 6.3에서 제시한 단계적 수용 경로, 즉 탐색 단계와 인증 단계를 명확히 분리하는 규정 정비가 선행 과제다.</w:t>
      </w:r>
    </w:p>
    <w:p>
      <w:pPr>
        <w:pStyle w:val="ListParagraph"/>
        <w:numPr>
          <w:ilvl w:val="0"/>
          <w:numId w:val="1"/>
        </w:numPr>
        <w:spacing w:after="80" w:line="300"/>
      </w:pPr>
      <w:r>
        <w:rPr>
          <w:b/>
          <w:bCs/>
          <w:sz w:val="20"/>
          <w:szCs w:val="20"/>
        </w:rPr>
        <w:t xml:space="preserve">이중용도 성격을 인지해야 한다. </w:t>
      </w:r>
      <w:r>
        <w:rPr>
          <w:sz w:val="20"/>
          <w:szCs w:val="20"/>
        </w:rPr>
        <w:t xml:space="preserve">회사가 든 응용 분야에는 반도체 설계, 극한 기상 예측, 에너지 자원 탐사가 포함된다.[2] 유체·구조·전자기 거동을 범용적으로 예측하는 역량은 민수 설계와 국방 설계를 구분하지 않는다. 이 계열 기술의 확산과 접근 통제는 향후 수출 통제 논의의 대상이 될 가능성이 있다.</w:t>
      </w:r>
    </w:p>
    <w:p>
      <w:pPr>
        <w:spacing w:after="120" w:line="300"/>
      </w:pPr>
      <w:r>
        <w:rPr>
          <w:sz w:val="20"/>
          <w:szCs w:val="20"/>
        </w:rPr>
        <w:t xml:space="preserve">종합하면, 이 회사에 대한 판단과 별개로 대응 우선순위는 명확하다. 첫째는 독립 검증 역량, 즉 물리 AI 벤치마크와 이를 운영할 중립 기관이다. 둘째는 국내 산업 해석·시험 데이터의 표준화와 결합 기반이다. 셋째는 탐색 단계와 인증 단계를 분리한 규제 지침의 사전 정비다. 이 세 가지는 특정 기업의 주장이 사실로 판명되든 아니든 필요한 투자이며, 사실로 판명될 경우에는 준비 여부가 격차를 결정한다.</w:t>
      </w:r>
    </w:p>
    <w:p>
      <w:pPr>
        <w:pStyle w:val="Heading1"/>
        <w:spacing w:after="160" w:before="320"/>
      </w:pPr>
      <w:r>
        <w:rPr>
          <w:b/>
          <w:bCs/>
          <w:color w:val="000000"/>
          <w:sz w:val="26"/>
          <w:szCs w:val="26"/>
        </w:rPr>
        <w:t xml:space="preserve">8. 용어집</w:t>
      </w:r>
    </w:p>
    <w:p>
      <w:pPr>
        <w:spacing w:after="90" w:line="300"/>
      </w:pPr>
      <w:r>
        <w:rPr>
          <w:b/>
          <w:bCs/>
          <w:sz w:val="18"/>
          <w:szCs w:val="18"/>
        </w:rPr>
        <w:t xml:space="preserve">뉴럴 오퍼레이터(Neural Operator). </w:t>
      </w:r>
      <w:r>
        <w:rPr>
          <w:sz w:val="18"/>
          <w:szCs w:val="18"/>
        </w:rPr>
        <w:t xml:space="preserve">격자 위의 숫자 배열이 아니라 함수에서 함수로 가는 사상(mapping) 자체를 학습하는 신경망 계열. 학습에 쓰지 않은 해상도에서도 실행할 수 있다는 성질(이산화 불변성)이 핵심이다.</w:t>
      </w:r>
    </w:p>
    <w:p>
      <w:pPr>
        <w:spacing w:after="90" w:line="300"/>
      </w:pPr>
      <w:r>
        <w:rPr>
          <w:b/>
          <w:bCs/>
          <w:sz w:val="18"/>
          <w:szCs w:val="18"/>
        </w:rPr>
        <w:t xml:space="preserve">푸리에 뉴럴 오퍼레이터(Fourier Neural Operator, FNO). </w:t>
      </w:r>
      <w:r>
        <w:rPr>
          <w:sz w:val="18"/>
          <w:szCs w:val="18"/>
        </w:rPr>
        <w:t xml:space="preserve">뉴럴 오퍼레이터를 주파수 영역에서 구현한 대표 방식. 창업자 Anandkumar가 공동 저자다.</w:t>
      </w:r>
    </w:p>
    <w:p>
      <w:pPr>
        <w:spacing w:after="90" w:line="300"/>
      </w:pPr>
      <w:r>
        <w:rPr>
          <w:b/>
          <w:bCs/>
          <w:sz w:val="18"/>
          <w:szCs w:val="18"/>
        </w:rPr>
        <w:t xml:space="preserve">DeepONet. </w:t>
      </w:r>
      <w:r>
        <w:rPr>
          <w:sz w:val="18"/>
          <w:szCs w:val="18"/>
        </w:rPr>
        <w:t xml:space="preserve">뉴럴 오퍼레이터의 또 다른 대표 계열. 입력 함수와 평가 위치를 분리해 처리한다.</w:t>
      </w:r>
    </w:p>
    <w:p>
      <w:pPr>
        <w:spacing w:after="90" w:line="300"/>
      </w:pPr>
      <w:r>
        <w:rPr>
          <w:b/>
          <w:bCs/>
          <w:sz w:val="18"/>
          <w:szCs w:val="18"/>
        </w:rPr>
        <w:t xml:space="preserve">물리 정보 신경망(Physics-Informed Neural Network, PINN). </w:t>
      </w:r>
      <w:r>
        <w:rPr>
          <w:sz w:val="18"/>
          <w:szCs w:val="18"/>
        </w:rPr>
        <w:t xml:space="preserve">지배방정식을 만족하지 못한 정도(잔차)를 손실 함수에 직접 넣어 학습시키는 방식. 데이터가 적을 때 유용하다.</w:t>
      </w:r>
    </w:p>
    <w:p>
      <w:pPr>
        <w:spacing w:after="90" w:line="300"/>
      </w:pPr>
      <w:r>
        <w:rPr>
          <w:b/>
          <w:bCs/>
          <w:sz w:val="18"/>
          <w:szCs w:val="18"/>
        </w:rPr>
        <w:t xml:space="preserve">지배방정식 잔차(governing equation residual). </w:t>
      </w:r>
      <w:r>
        <w:rPr>
          <w:sz w:val="18"/>
          <w:szCs w:val="18"/>
        </w:rPr>
        <w:t xml:space="preserve">모델이 내놓은 해를 지배방정식에 대입했을 때 남는 오차. 정답을 몰라도 계산할 수 있어 자기 채점 신호로 쓸 수 있다.</w:t>
      </w:r>
    </w:p>
    <w:p>
      <w:pPr>
        <w:spacing w:after="90" w:line="300"/>
      </w:pPr>
      <w:r>
        <w:rPr>
          <w:b/>
          <w:bCs/>
          <w:sz w:val="18"/>
          <w:szCs w:val="18"/>
        </w:rPr>
        <w:t xml:space="preserve">해상도 불변(resolution invariant). </w:t>
      </w:r>
      <w:r>
        <w:rPr>
          <w:sz w:val="18"/>
          <w:szCs w:val="18"/>
        </w:rPr>
        <w:t xml:space="preserve">같은 모델을 성긴 격자와 조밀한 격자에서 모두 실행할 수 있는 성질. 단, 정확도가 해상도와 무관하게 유지된다는 뜻은 아니다.</w:t>
      </w:r>
    </w:p>
    <w:p>
      <w:pPr>
        <w:spacing w:after="90" w:line="300"/>
      </w:pPr>
      <w:r>
        <w:rPr>
          <w:b/>
          <w:bCs/>
          <w:sz w:val="18"/>
          <w:szCs w:val="18"/>
        </w:rPr>
        <w:t xml:space="preserve">자기회귀(autoregressive). </w:t>
      </w:r>
      <w:r>
        <w:rPr>
          <w:sz w:val="18"/>
          <w:szCs w:val="18"/>
        </w:rPr>
        <w:t xml:space="preserve">한 스텝씩 예측하고 그 결과를 다시 입력으로 넣는 방식. 편리하지만 오차가 단계마다 누적된다.</w:t>
      </w:r>
    </w:p>
    <w:p>
      <w:pPr>
        <w:spacing w:after="90" w:line="300"/>
      </w:pPr>
      <w:r>
        <w:rPr>
          <w:b/>
          <w:bCs/>
          <w:sz w:val="18"/>
          <w:szCs w:val="18"/>
        </w:rPr>
        <w:t xml:space="preserve">원샷 롤아웃(one-shot rollout). </w:t>
      </w:r>
      <w:r>
        <w:rPr>
          <w:sz w:val="18"/>
          <w:szCs w:val="18"/>
        </w:rPr>
        <w:t xml:space="preserve">시간 전개 전체를 한 번의 추론으로 산출하는 방식. 단계별 오차 전파를 구조적으로 피한다.</w:t>
      </w:r>
    </w:p>
    <w:p>
      <w:pPr>
        <w:spacing w:after="90" w:line="300"/>
      </w:pPr>
      <w:r>
        <w:rPr>
          <w:b/>
          <w:bCs/>
          <w:sz w:val="18"/>
          <w:szCs w:val="18"/>
        </w:rPr>
        <w:t xml:space="preserve">컨텍스트(context). </w:t>
      </w:r>
      <w:r>
        <w:rPr>
          <w:sz w:val="18"/>
          <w:szCs w:val="18"/>
        </w:rPr>
        <w:t xml:space="preserve">모델이 한 번에 처리하는 정보의 양. 언어 모델에서는 토큰 개수(1차원)지만, 이 회사는 공간 3차원과 시간 1차원의 격자점 총수로 정의한다.</w:t>
      </w:r>
    </w:p>
    <w:p>
      <w:pPr>
        <w:spacing w:after="90" w:line="300"/>
      </w:pPr>
      <w:r>
        <w:rPr>
          <w:b/>
          <w:bCs/>
          <w:sz w:val="18"/>
          <w:szCs w:val="18"/>
        </w:rPr>
        <w:t xml:space="preserve">서로게이트 모델(surrogate model). </w:t>
      </w:r>
      <w:r>
        <w:rPr>
          <w:sz w:val="18"/>
          <w:szCs w:val="18"/>
        </w:rPr>
        <w:t xml:space="preserve">느린 시뮬레이션을 흉내 내도록 학습시킨 빠른 근사 모델. 보통 과제 하나에 특화된다.</w:t>
      </w:r>
    </w:p>
    <w:p>
      <w:pPr>
        <w:spacing w:after="90" w:line="300"/>
      </w:pPr>
      <w:r>
        <w:rPr>
          <w:b/>
          <w:bCs/>
          <w:sz w:val="18"/>
          <w:szCs w:val="18"/>
        </w:rPr>
        <w:t xml:space="preserve">수반해석(adjoint method). </w:t>
      </w:r>
      <w:r>
        <w:rPr>
          <w:sz w:val="18"/>
          <w:szCs w:val="18"/>
        </w:rPr>
        <w:t xml:space="preserve">설계 변수에 대한 민감도를 효율적으로 구하는 수치해석 기법. 기존 솔버에서 그래디언트를 얻는 표준 경로이나 구현 부담이 크다.</w:t>
      </w:r>
    </w:p>
    <w:p>
      <w:pPr>
        <w:spacing w:after="90" w:line="300"/>
      </w:pPr>
      <w:r>
        <w:rPr>
          <w:b/>
          <w:bCs/>
          <w:sz w:val="18"/>
          <w:szCs w:val="18"/>
        </w:rPr>
        <w:t xml:space="preserve">검증·확인(Verification &amp; Validation, V&amp;V). </w:t>
      </w:r>
      <w:r>
        <w:rPr>
          <w:sz w:val="18"/>
          <w:szCs w:val="18"/>
        </w:rPr>
        <w:t xml:space="preserve">수치해가 방정식을 제대로 풀었는지(검증)와 그 방정식이 실제 현상을 맞게 기술하는지(확인)를 분리해 입증하는 절차. 규제 인증의 기반이다.</w:t>
      </w:r>
    </w:p>
    <w:p>
      <w:pPr>
        <w:spacing w:after="90" w:line="300"/>
      </w:pPr>
      <w:r>
        <w:rPr>
          <w:b/>
          <w:bCs/>
          <w:sz w:val="18"/>
          <w:szCs w:val="18"/>
        </w:rPr>
        <w:t xml:space="preserve">격자수렴(grid convergence). </w:t>
      </w:r>
      <w:r>
        <w:rPr>
          <w:sz w:val="18"/>
          <w:szCs w:val="18"/>
        </w:rPr>
        <w:t xml:space="preserve">격자를 조밀하게 할수록 해가 특정 값으로 수렴함을 보여 수치오차를 정량화하는 절차.</w:t>
      </w:r>
    </w:p>
    <w:p>
      <w:pPr>
        <w:spacing w:after="90" w:line="300"/>
      </w:pPr>
      <w:r>
        <w:rPr>
          <w:b/>
          <w:bCs/>
          <w:sz w:val="18"/>
          <w:szCs w:val="18"/>
        </w:rPr>
        <w:t xml:space="preserve">파운데이션 모델(foundation model). </w:t>
      </w:r>
      <w:r>
        <w:rPr>
          <w:sz w:val="18"/>
          <w:szCs w:val="18"/>
        </w:rPr>
        <w:t xml:space="preserve">넓은 범위의 데이터로 한 번 크게 사전학습한 뒤 여러 하류 과제에 재사용하는 모델.</w:t>
      </w:r>
    </w:p>
    <w:p>
      <w:pPr>
        <w:pStyle w:val="Heading1"/>
        <w:spacing w:after="160" w:before="320"/>
      </w:pPr>
      <w:r>
        <w:rPr>
          <w:b/>
          <w:bCs/>
          <w:color w:val="000000"/>
          <w:sz w:val="26"/>
          <w:szCs w:val="26"/>
        </w:rPr>
        <w:t xml:space="preserve">9. 출처</w:t>
      </w:r>
    </w:p>
    <w:p>
      <w:pPr>
        <w:spacing w:after="120" w:line="300"/>
      </w:pPr>
      <w:r>
        <w:rPr>
          <w:sz w:val="18"/>
          <w:szCs w:val="18"/>
        </w:rPr>
        <w:t xml:space="preserve">본문의 대괄호 번호는 아래 목록에 대응한다. 태그 [추론]이 붙은 문장은 분석자의 판단이며 출처가 없는 진술임을 본문에서 밝혔다.</w:t>
      </w:r>
    </w:p>
    <w:p>
      <w:pPr>
        <w:spacing w:after="90" w:line="300"/>
      </w:pPr>
      <w:r>
        <w:rPr>
          <w:sz w:val="17"/>
          <w:szCs w:val="17"/>
        </w:rPr>
        <w:t xml:space="preserve">[1] Accelerated Understanding, 회사 발표문 "AI that can simulate and understand physics to invent and discover"(Mission / Approach / Scale / Self-Improvement 절). 본 보고서에 인용한 회사 주장의 원문 출처. 사용자 제공 텍스트본.</w:t>
      </w:r>
    </w:p>
    <w:p>
      <w:pPr>
        <w:spacing w:after="90" w:line="300"/>
      </w:pPr>
      <w:r>
        <w:rPr>
          <w:sz w:val="17"/>
          <w:szCs w:val="17"/>
        </w:rPr>
        <w:t xml:space="preserve">[2] Jeffrey Dastin, "Exclusive: The AI founders who walked away from Bezos-backed Prometheus to model the universe", Reuters, 2026-08-25(tech.yahoo.com, rappler.com 등 재게재본으로 확인).</w:t>
      </w:r>
    </w:p>
    <w:p>
      <w:pPr>
        <w:spacing w:after="90" w:line="300"/>
      </w:pPr>
      <w:r>
        <w:rPr>
          <w:sz w:val="17"/>
          <w:szCs w:val="17"/>
        </w:rPr>
        <w:t xml:space="preserve">[3] "Caltech Startup Unveils Physics AI That Skips Transformers: No Benchmark Proof Yet", TechTimes, 2026-08-26.</w:t>
      </w:r>
    </w:p>
    <w:p>
      <w:pPr>
        <w:spacing w:after="90" w:line="300"/>
      </w:pPr>
      <w:r>
        <w:rPr>
          <w:sz w:val="17"/>
          <w:szCs w:val="17"/>
        </w:rPr>
        <w:t xml:space="preserve">[4] "Accelerated Understanding Unveils Physics Prediction AI Model", Let's Data Science, 2026-08.</w:t>
      </w:r>
    </w:p>
    <w:p>
      <w:pPr>
        <w:spacing w:after="90" w:line="300"/>
      </w:pPr>
      <w:r>
        <w:rPr>
          <w:sz w:val="17"/>
          <w:szCs w:val="17"/>
        </w:rPr>
        <w:t xml:space="preserve">[5] Anima Anandkumar 인물 프로필, Caltech Division of Engineering and Applied Science 및 NVIDIA Research.</w:t>
      </w:r>
    </w:p>
    <w:p>
      <w:pPr>
        <w:spacing w:after="90" w:line="300"/>
      </w:pPr>
      <w:r>
        <w:rPr>
          <w:sz w:val="17"/>
          <w:szCs w:val="17"/>
        </w:rPr>
        <w:t xml:space="preserve">[6] Z. Li, N. Kovachki, K. Azizzadenesheli, B. Liu, K. Bhattacharya, A. Stuart, A. Anandkumar, "Fourier Neural Operator for Parametric Partial Differential Equations", ICLR 2021(arXiv:2010.08895).</w:t>
      </w:r>
    </w:p>
    <w:p>
      <w:pPr>
        <w:spacing w:after="90" w:line="300"/>
      </w:pPr>
      <w:r>
        <w:rPr>
          <w:sz w:val="17"/>
          <w:szCs w:val="17"/>
        </w:rPr>
        <w:t xml:space="preserve">[7] N. Kovachki 외, "Neural Operator: Learning Maps Between Function Spaces", Journal of Machine Learning Research 24, 2023.</w:t>
      </w:r>
    </w:p>
    <w:p>
      <w:pPr>
        <w:spacing w:after="90" w:line="300"/>
      </w:pPr>
      <w:r>
        <w:rPr>
          <w:sz w:val="17"/>
          <w:szCs w:val="17"/>
        </w:rPr>
        <w:t xml:space="preserve">[8] L. Lu, P. Jin, G. E. Karniadakis, "Learning nonlinear operators via DeepONet", Nature Machine Intelligence 3, 2021.</w:t>
      </w:r>
    </w:p>
    <w:p>
      <w:pPr>
        <w:spacing w:after="90" w:line="300"/>
      </w:pPr>
      <w:r>
        <w:rPr>
          <w:sz w:val="17"/>
          <w:szCs w:val="17"/>
        </w:rPr>
        <w:t xml:space="preserve">[9] M. Raissi, P. Perdikaris, G. E. Karniadakis, "Physics-informed neural networks", Journal of Computational Physics 378, 2019.</w:t>
      </w:r>
    </w:p>
    <w:p>
      <w:pPr>
        <w:spacing w:after="90" w:line="300"/>
      </w:pPr>
      <w:r>
        <w:rPr>
          <w:sz w:val="17"/>
          <w:szCs w:val="17"/>
        </w:rPr>
        <w:t xml:space="preserve">[10] Z. Li 외, "Physics-Informed Neural Operator for Learning Partial Differential Equations", 2021(arXiv:2111.03794).</w:t>
      </w:r>
    </w:p>
    <w:p>
      <w:pPr>
        <w:spacing w:after="90" w:line="300"/>
      </w:pPr>
      <w:r>
        <w:rPr>
          <w:sz w:val="17"/>
          <w:szCs w:val="17"/>
        </w:rPr>
        <w:t xml:space="preserve">[11] J. Pathak 외, "FourCastNet: A Global Data-driven High-resolution Weather Model using Adaptive Fourier Neural Operators", 2022(arXiv:2202.11214); PASC 2023 게재본.</w:t>
      </w:r>
    </w:p>
    <w:p>
      <w:pPr>
        <w:spacing w:after="90" w:line="300"/>
      </w:pPr>
      <w:r>
        <w:rPr>
          <w:sz w:val="17"/>
          <w:szCs w:val="17"/>
        </w:rPr>
        <w:t xml:space="preserve">[12] M. Herde 외, "Poseidon: Efficient Foundation Models for PDEs", NeurIPS 2024(arXiv:2405.19101).</w:t>
      </w:r>
    </w:p>
    <w:p>
      <w:pPr>
        <w:spacing w:after="90" w:line="300"/>
      </w:pPr>
      <w:r>
        <w:rPr>
          <w:sz w:val="17"/>
          <w:szCs w:val="17"/>
        </w:rPr>
        <w:t xml:space="preserve">[13] M. McCabe 외, "Multiple Physics Pretraining for Physical Surrogate Models", 2023.</w:t>
      </w:r>
    </w:p>
    <w:p>
      <w:pPr>
        <w:spacing w:after="90" w:line="300"/>
      </w:pPr>
      <w:r>
        <w:rPr>
          <w:sz w:val="17"/>
          <w:szCs w:val="17"/>
        </w:rPr>
        <w:t xml:space="preserve">[14] PhysicsX, 3억 달러 규모 시리즈 C(Temasek 주도, 기업가치 약 24억 달러, 누적 조달 4억 8,900만 달러), 2026-06-08 발표. NGP 및 Ventureburn 보도. Neural Concept·Emmi AI에 대한 서술은 같은 조사에서 확인한 기업 프로필 집계 서비스의 경쟁사 항목에 근거한 것으로, 1차 자료 확인은 거치지 않았다.</w:t>
      </w:r>
    </w:p>
    <w:p>
      <w:pPr>
        <w:spacing w:after="90" w:line="300"/>
      </w:pPr>
      <w:r>
        <w:rPr>
          <w:sz w:val="17"/>
          <w:szCs w:val="17"/>
        </w:rPr>
        <w:t xml:space="preserve">[15] Periodic Labs, 3억 달러 시드(a16z 주도, 투자 후 기업가치 13억 달러), 2025-09-30. TechCrunch 및 implicator.ai 보도. 2026년 중 약 75억 달러 기업가치 논의 보도가 있으나 회사 확인은 없음.</w:t>
      </w:r>
    </w:p>
    <w:p>
      <w:pPr>
        <w:spacing w:after="90" w:line="300"/>
      </w:pPr>
      <w:r>
        <w:rPr>
          <w:sz w:val="17"/>
          <w:szCs w:val="17"/>
        </w:rPr>
        <w:t xml:space="preserve">[16] NVIDIA PhysicsNeMo(구 Modulus) 및 Omniverse 관련 NVIDIA 공식 블로그·사례연구. Ansys RedHawk-SC 통합 검토, Siemens Teamcenter·Simcenter STAR-CCM+ 연동 포함.</w:t>
      </w:r>
    </w:p>
    <w:p>
      <w:pPr>
        <w:spacing w:after="90" w:line="300"/>
      </w:pPr>
      <w:r>
        <w:rPr>
          <w:sz w:val="17"/>
          <w:szCs w:val="17"/>
        </w:rPr>
        <w:t xml:space="preserve">[17] SimScale, NVIDIA PhysicsNeMo 기반 터보기계 시뮬레이션 파운데이션 AI 모델 발표 보도자료.</w:t>
      </w:r>
    </w:p>
    <w:p>
      <w:pPr>
        <w:spacing w:after="90" w:line="300"/>
      </w:pPr>
      <w:r>
        <w:rPr>
          <w:sz w:val="17"/>
          <w:szCs w:val="17"/>
        </w:rPr>
        <w:t xml:space="preserve">[18] World model 계열 아키텍처(OpenAI Sora의 시공간 잠재 패치, DeepMind Genie 계열의 프레임 단위 자기회귀, NVIDIA Cosmos의 영상 토크나이저, Meta V-JEPA 계열의 잠재 공간 예측)에 관한 각 개발사 공개 기술 문서. 본 조사에서 원문 재확인은 하지 못했으며, 2026년 5월 이전 공개 자료에 근거한 서술이다.</w:t>
      </w:r>
    </w:p>
    <w:p>
      <w:pPr>
        <w:spacing w:after="120" w:line="300"/>
      </w:pPr>
      <w:r>
        <w:rPr>
          <w:sz w:val="12"/>
          <w:szCs w:val="12"/>
        </w:rPr>
        <w:t xml:space="preserve"/>
      </w:r>
    </w:p>
    <w:p>
      <w:pPr>
        <w:spacing w:after="120" w:line="300"/>
      </w:pPr>
      <w:r>
        <w:rPr>
          <w:sz w:val="17"/>
          <w:szCs w:val="17"/>
        </w:rPr>
        <w:t xml:space="preserve">자료 접근에 관한 부기: 본 보고서 작성 환경에서는 외부 웹사이트에 대한 직접 접속이 네트워크 정책으로 차단되어, [2]부터 [17]까지의 항목은 검색 결과를 통해 확인한 내용이다. 원문 대조가 필요한 수치는 해당 매체 원문을 별도로 확인할 것을 권한다. [1]은 사용자 제공 원문 전문에 직접 대조하여 인용했다.</w:t>
      </w:r>
    </w:p>
    <w:sectPr>
      <w:pgSz w:w="11906" w:h="16838" w:orient="portrait"/>
      <w:pgMar w:top="1134" w:right="1000" w:bottom="1134"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20"/>
        <w:szCs w:val="20"/>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Malgun Gothic" w:cs="Malgun Gothic" w:eastAsia="Malgun Gothic" w:hAnsi="Malgun Gothic"/>
    </w:rPr>
  </w:style>
  <w:style w:type="paragraph" w:styleId="Heading2">
    <w:name w:val="Heading 2"/>
    <w:basedOn w:val="Normal"/>
    <w:next w:val="Normal"/>
    <w:qFormat/>
    <w:rPr>
      <w:rFonts w:ascii="Malgun Gothic" w:cs="Malgun Gothic" w:eastAsia="Malgun Gothic" w:hAnsi="Malgun Gothic"/>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Accelerated Understanding 물리 AI 모델 심층 조사 보고서</dc:title>
  <dc:creator>딥테크 기술전략 분석</dc:creator>
  <cp:lastModifiedBy>Un-named</cp:lastModifiedBy>
  <cp:revision>1</cp:revision>
  <dcterms:created xsi:type="dcterms:W3CDTF">2026-08-27T01:27:43.573Z</dcterms:created>
  <dcterms:modified xsi:type="dcterms:W3CDTF">2026-08-27T01:27:43.573Z</dcterms:modified>
</cp:coreProperties>
</file>

<file path=docProps/custom.xml><?xml version="1.0" encoding="utf-8"?>
<Properties xmlns="http://schemas.openxmlformats.org/officeDocument/2006/custom-properties" xmlns:vt="http://schemas.openxmlformats.org/officeDocument/2006/docPropsVTypes"/>
</file>