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 levantamiento de requerimientos</w:t>
      </w:r>
    </w:p>
    <w:p>
      <w:r>
        <w:t>Proyecto APT: Sistema de gestión de inventario y mantenimiento para Bomberos de San Bernardo</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sz w:val="18"/>
              </w:rPr>
              <w:t>Dato</w:t>
            </w:r>
          </w:p>
        </w:tc>
        <w:tc>
          <w:tcPr>
            <w:tcW w:type="dxa" w:w="4968"/>
            <w:vAlign w:val="center"/>
          </w:tcPr>
          <w:p>
            <w:r>
              <w:rPr>
                <w:rFonts w:ascii="Arial" w:hAnsi="Arial"/>
                <w:sz w:val="18"/>
              </w:rPr>
              <w:t>Registro</w:t>
            </w:r>
          </w:p>
        </w:tc>
      </w:tr>
      <w:tr>
        <w:tc>
          <w:tcPr>
            <w:tcW w:type="dxa" w:w="4968"/>
            <w:vAlign w:val="center"/>
          </w:tcPr>
          <w:p>
            <w:r>
              <w:rPr>
                <w:rFonts w:ascii="Arial" w:hAnsi="Arial"/>
                <w:sz w:val="18"/>
              </w:rPr>
              <w:t>Autor de los apuntes</w:t>
            </w:r>
          </w:p>
        </w:tc>
        <w:tc>
          <w:tcPr>
            <w:tcW w:type="dxa" w:w="4968"/>
            <w:vAlign w:val="center"/>
          </w:tcPr>
          <w:p>
            <w:r>
              <w:rPr>
                <w:rFonts w:ascii="Arial" w:hAnsi="Arial"/>
                <w:sz w:val="18"/>
              </w:rPr>
              <w:t>Benjamín Andrés Sandoval Robles</w:t>
            </w:r>
          </w:p>
        </w:tc>
      </w:tr>
      <w:tr>
        <w:tc>
          <w:tcPr>
            <w:tcW w:type="dxa" w:w="4968"/>
            <w:vAlign w:val="center"/>
          </w:tcPr>
          <w:p>
            <w:r>
              <w:rPr>
                <w:rFonts w:ascii="Arial" w:hAnsi="Arial"/>
                <w:sz w:val="18"/>
              </w:rPr>
              <w:t>Fuente</w:t>
            </w:r>
          </w:p>
        </w:tc>
        <w:tc>
          <w:tcPr>
            <w:tcW w:type="dxa" w:w="4968"/>
            <w:vAlign w:val="center"/>
          </w:tcPr>
          <w:p>
            <w:r>
              <w:rPr>
                <w:rFonts w:ascii="Arial" w:hAnsi="Arial"/>
                <w:sz w:val="18"/>
              </w:rPr>
              <w:t>Apuntes personales de la primera reunión, transcritos posteriormente</w:t>
            </w:r>
          </w:p>
        </w:tc>
      </w:tr>
      <w:tr>
        <w:tc>
          <w:tcPr>
            <w:tcW w:type="dxa" w:w="4968"/>
            <w:vAlign w:val="center"/>
          </w:tcPr>
          <w:p>
            <w:r>
              <w:rPr>
                <w:rFonts w:ascii="Arial" w:hAnsi="Arial"/>
                <w:sz w:val="18"/>
              </w:rPr>
              <w:t>Fecha y lugar</w:t>
            </w:r>
          </w:p>
        </w:tc>
        <w:tc>
          <w:tcPr>
            <w:tcW w:type="dxa" w:w="4968"/>
            <w:vAlign w:val="center"/>
          </w:tcPr>
          <w:p>
            <w:r>
              <w:rPr>
                <w:rFonts w:ascii="Arial" w:hAnsi="Arial"/>
                <w:sz w:val="18"/>
              </w:rPr>
              <w:t>No consignados en los apuntes</w:t>
            </w:r>
          </w:p>
        </w:tc>
      </w:tr>
      <w:tr>
        <w:tc>
          <w:tcPr>
            <w:tcW w:type="dxa" w:w="4968"/>
            <w:vAlign w:val="center"/>
          </w:tcPr>
          <w:p>
            <w:r>
              <w:rPr>
                <w:rFonts w:ascii="Arial" w:hAnsi="Arial"/>
                <w:sz w:val="18"/>
              </w:rPr>
              <w:t>Asistentes</w:t>
            </w:r>
          </w:p>
        </w:tc>
        <w:tc>
          <w:tcPr>
            <w:tcW w:type="dxa" w:w="4968"/>
            <w:vAlign w:val="center"/>
          </w:tcPr>
          <w:p>
            <w:r>
              <w:rPr>
                <w:rFonts w:ascii="Arial" w:hAnsi="Arial"/>
                <w:sz w:val="18"/>
              </w:rPr>
              <w:t>No consignados en los apuntes</w:t>
            </w:r>
          </w:p>
        </w:tc>
      </w:tr>
      <w:tr>
        <w:tc>
          <w:tcPr>
            <w:tcW w:type="dxa" w:w="4968"/>
            <w:vAlign w:val="center"/>
          </w:tcPr>
          <w:p>
            <w:r>
              <w:rPr>
                <w:rFonts w:ascii="Arial" w:hAnsi="Arial"/>
                <w:sz w:val="18"/>
              </w:rPr>
              <w:t>Estado</w:t>
            </w:r>
          </w:p>
        </w:tc>
        <w:tc>
          <w:tcPr>
            <w:tcW w:type="dxa" w:w="4968"/>
            <w:vAlign w:val="center"/>
          </w:tcPr>
          <w:p>
            <w:r>
              <w:rPr>
                <w:rFonts w:ascii="Arial" w:hAnsi="Arial"/>
                <w:sz w:val="18"/>
              </w:rPr>
              <w:t>Registro de información preliminar; no constituye acta firmada ni aprobación institucional</w:t>
            </w:r>
          </w:p>
        </w:tc>
      </w:tr>
    </w:tbl>
    <w:p>
      <w:pPr>
        <w:pStyle w:val="Heading1"/>
      </w:pPr>
      <w:r>
        <w:t>1. Situación descrita en los apuntes</w:t>
      </w:r>
    </w:p>
    <w:p>
      <w:pPr>
        <w:pStyle w:val="ListBullet"/>
      </w:pPr>
      <w:r>
        <w:t>Se trabaja con planillas Excel.</w:t>
      </w:r>
    </w:p>
    <w:p>
      <w:pPr>
        <w:pStyle w:val="ListBullet"/>
      </w:pPr>
      <w:r>
        <w:t>Se indicó que no existe una solución integrada suficiente para el control requerido («no tienen nada básicamente»).</w:t>
      </w:r>
    </w:p>
    <w:p>
      <w:pPr>
        <w:pStyle w:val="ListBullet"/>
      </w:pPr>
      <w:r>
        <w:t>Se expresó preocupación por gastos mayores a los deseados.</w:t>
      </w:r>
    </w:p>
    <w:p>
      <w:pPr>
        <w:pStyle w:val="ListBullet"/>
      </w:pPr>
      <w:r>
        <w:t>Se desea un programa en que la información esté conectada entre los distintos procesos («que converse entre todos»).</w:t>
      </w:r>
    </w:p>
    <w:p>
      <w:pPr>
        <w:pStyle w:val="Heading1"/>
      </w:pPr>
      <w:r>
        <w:t>2. Necesidades funcionales registradas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sz w:val="18"/>
              </w:rPr>
              <w:t>Código</w:t>
            </w:r>
          </w:p>
        </w:tc>
        <w:tc>
          <w:tcPr>
            <w:tcW w:type="dxa" w:w="4968"/>
            <w:vAlign w:val="center"/>
          </w:tcPr>
          <w:p>
            <w:r>
              <w:rPr>
                <w:rFonts w:ascii="Arial" w:hAnsi="Arial"/>
                <w:sz w:val="18"/>
              </w:rPr>
              <w:t>Necesidad consignada</w:t>
            </w:r>
          </w:p>
        </w:tc>
      </w:tr>
      <w:tr>
        <w:tc>
          <w:tcPr>
            <w:tcW w:type="dxa" w:w="4968"/>
            <w:vAlign w:val="center"/>
          </w:tcPr>
          <w:p>
            <w:r>
              <w:rPr>
                <w:rFonts w:ascii="Arial" w:hAnsi="Arial"/>
                <w:sz w:val="18"/>
              </w:rPr>
              <w:t>R01</w:t>
            </w:r>
          </w:p>
        </w:tc>
        <w:tc>
          <w:tcPr>
            <w:tcW w:type="dxa" w:w="4968"/>
            <w:vAlign w:val="center"/>
          </w:tcPr>
          <w:p>
            <w:r>
              <w:rPr>
                <w:rFonts w:ascii="Arial" w:hAnsi="Arial"/>
                <w:sz w:val="18"/>
              </w:rPr>
              <w:t>Registro de fechas de vencimiento y generación de reportes</w:t>
            </w:r>
          </w:p>
        </w:tc>
      </w:tr>
      <w:tr>
        <w:tc>
          <w:tcPr>
            <w:tcW w:type="dxa" w:w="4968"/>
            <w:vAlign w:val="center"/>
          </w:tcPr>
          <w:p>
            <w:r>
              <w:rPr>
                <w:rFonts w:ascii="Arial" w:hAnsi="Arial"/>
                <w:sz w:val="18"/>
              </w:rPr>
              <w:t>R02</w:t>
            </w:r>
          </w:p>
        </w:tc>
        <w:tc>
          <w:tcPr>
            <w:tcW w:type="dxa" w:w="4968"/>
            <w:vAlign w:val="center"/>
          </w:tcPr>
          <w:p>
            <w:r>
              <w:rPr>
                <w:rFonts w:ascii="Arial" w:hAnsi="Arial"/>
                <w:sz w:val="18"/>
              </w:rPr>
              <w:t>Seguimiento de mantenimiento y reportes</w:t>
            </w:r>
          </w:p>
        </w:tc>
      </w:tr>
      <w:tr>
        <w:tc>
          <w:tcPr>
            <w:tcW w:type="dxa" w:w="4968"/>
            <w:vAlign w:val="center"/>
          </w:tcPr>
          <w:p>
            <w:r>
              <w:rPr>
                <w:rFonts w:ascii="Arial" w:hAnsi="Arial"/>
                <w:sz w:val="18"/>
              </w:rPr>
              <w:t>R03</w:t>
            </w:r>
          </w:p>
        </w:tc>
        <w:tc>
          <w:tcPr>
            <w:tcW w:type="dxa" w:w="4968"/>
            <w:vAlign w:val="center"/>
          </w:tcPr>
          <w:p>
            <w:r>
              <w:rPr>
                <w:rFonts w:ascii="Arial" w:hAnsi="Arial"/>
                <w:sz w:val="18"/>
              </w:rPr>
              <w:t>Control de gastos y detalle de cada reparación</w:t>
            </w:r>
          </w:p>
        </w:tc>
      </w:tr>
      <w:tr>
        <w:tc>
          <w:tcPr>
            <w:tcW w:type="dxa" w:w="4968"/>
            <w:vAlign w:val="center"/>
          </w:tcPr>
          <w:p>
            <w:r>
              <w:rPr>
                <w:rFonts w:ascii="Arial" w:hAnsi="Arial"/>
                <w:sz w:val="18"/>
              </w:rPr>
              <w:t>R04</w:t>
            </w:r>
          </w:p>
        </w:tc>
        <w:tc>
          <w:tcPr>
            <w:tcW w:type="dxa" w:w="4968"/>
            <w:vAlign w:val="center"/>
          </w:tcPr>
          <w:p>
            <w:r>
              <w:rPr>
                <w:rFonts w:ascii="Arial" w:hAnsi="Arial"/>
                <w:sz w:val="18"/>
              </w:rPr>
              <w:t>Checklist diario de entrada y salida</w:t>
            </w:r>
          </w:p>
        </w:tc>
      </w:tr>
      <w:tr>
        <w:tc>
          <w:tcPr>
            <w:tcW w:type="dxa" w:w="4968"/>
            <w:vAlign w:val="center"/>
          </w:tcPr>
          <w:p>
            <w:r>
              <w:rPr>
                <w:rFonts w:ascii="Arial" w:hAnsi="Arial"/>
                <w:sz w:val="18"/>
              </w:rPr>
              <w:t>R05</w:t>
            </w:r>
          </w:p>
        </w:tc>
        <w:tc>
          <w:tcPr>
            <w:tcW w:type="dxa" w:w="4968"/>
            <w:vAlign w:val="center"/>
          </w:tcPr>
          <w:p>
            <w:r>
              <w:rPr>
                <w:rFonts w:ascii="Arial" w:hAnsi="Arial"/>
                <w:sz w:val="18"/>
              </w:rPr>
              <w:t>Adaptación de la solución a la planilla o sistema actual</w:t>
            </w:r>
          </w:p>
        </w:tc>
      </w:tr>
      <w:tr>
        <w:tc>
          <w:tcPr>
            <w:tcW w:type="dxa" w:w="4968"/>
            <w:vAlign w:val="center"/>
          </w:tcPr>
          <w:p>
            <w:r>
              <w:rPr>
                <w:rFonts w:ascii="Arial" w:hAnsi="Arial"/>
                <w:sz w:val="18"/>
              </w:rPr>
              <w:t>R06</w:t>
            </w:r>
          </w:p>
        </w:tc>
        <w:tc>
          <w:tcPr>
            <w:tcW w:type="dxa" w:w="4968"/>
            <w:vAlign w:val="center"/>
          </w:tcPr>
          <w:p>
            <w:r>
              <w:rPr>
                <w:rFonts w:ascii="Arial" w:hAnsi="Arial"/>
                <w:sz w:val="18"/>
              </w:rPr>
              <w:t>Informe de pérdidas de inventario</w:t>
            </w:r>
          </w:p>
        </w:tc>
      </w:tr>
      <w:tr>
        <w:tc>
          <w:tcPr>
            <w:tcW w:type="dxa" w:w="4968"/>
            <w:vAlign w:val="center"/>
          </w:tcPr>
          <w:p>
            <w:r>
              <w:rPr>
                <w:rFonts w:ascii="Arial" w:hAnsi="Arial"/>
                <w:sz w:val="18"/>
              </w:rPr>
              <w:t>R07</w:t>
            </w:r>
          </w:p>
        </w:tc>
        <w:tc>
          <w:tcPr>
            <w:tcW w:type="dxa" w:w="4968"/>
            <w:vAlign w:val="center"/>
          </w:tcPr>
          <w:p>
            <w:r>
              <w:rPr>
                <w:rFonts w:ascii="Arial" w:hAnsi="Arial"/>
                <w:sz w:val="18"/>
              </w:rPr>
              <w:t>Registro de valores monetarios de materiales y operaciones</w:t>
            </w:r>
          </w:p>
        </w:tc>
      </w:tr>
      <w:tr>
        <w:tc>
          <w:tcPr>
            <w:tcW w:type="dxa" w:w="4968"/>
            <w:vAlign w:val="center"/>
          </w:tcPr>
          <w:p>
            <w:r>
              <w:rPr>
                <w:rFonts w:ascii="Arial" w:hAnsi="Arial"/>
                <w:sz w:val="18"/>
              </w:rPr>
              <w:t>R08</w:t>
            </w:r>
          </w:p>
        </w:tc>
        <w:tc>
          <w:tcPr>
            <w:tcW w:type="dxa" w:w="4968"/>
            <w:vAlign w:val="center"/>
          </w:tcPr>
          <w:p>
            <w:r>
              <w:rPr>
                <w:rFonts w:ascii="Arial" w:hAnsi="Arial"/>
                <w:sz w:val="18"/>
              </w:rPr>
              <w:t>Posibilidad de escalar hasta nueve compañías, con inventarios separados y un responsable o líder</w:t>
            </w:r>
          </w:p>
        </w:tc>
      </w:tr>
    </w:tbl>
    <w:p>
      <w:pPr>
        <w:pStyle w:val="Heading1"/>
      </w:pPr>
      <w:r>
        <w:t>3. Datos mencionados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sz w:val="18"/>
              </w:rPr>
              <w:t>Área</w:t>
            </w:r>
          </w:p>
        </w:tc>
        <w:tc>
          <w:tcPr>
            <w:tcW w:type="dxa" w:w="4968"/>
            <w:vAlign w:val="center"/>
          </w:tcPr>
          <w:p>
            <w:r>
              <w:rPr>
                <w:rFonts w:ascii="Arial" w:hAnsi="Arial"/>
                <w:sz w:val="18"/>
              </w:rPr>
              <w:t>Campos o referencias anotadas</w:t>
            </w:r>
          </w:p>
        </w:tc>
      </w:tr>
      <w:tr>
        <w:tc>
          <w:tcPr>
            <w:tcW w:type="dxa" w:w="4968"/>
            <w:vAlign w:val="center"/>
          </w:tcPr>
          <w:p>
            <w:r>
              <w:rPr>
                <w:rFonts w:ascii="Arial" w:hAnsi="Arial"/>
                <w:sz w:val="18"/>
              </w:rPr>
              <w:t>Carros / unidades</w:t>
            </w:r>
          </w:p>
        </w:tc>
        <w:tc>
          <w:tcPr>
            <w:tcW w:type="dxa" w:w="4968"/>
            <w:vAlign w:val="center"/>
          </w:tcPr>
          <w:p>
            <w:r>
              <w:rPr>
                <w:rFonts w:ascii="Arial" w:hAnsi="Arial"/>
                <w:sz w:val="18"/>
              </w:rPr>
              <w:t>Patente, combustible o gasolina, kilometraje, mantenciones, horas de uso, horas de escala mecánica.</w:t>
            </w:r>
          </w:p>
        </w:tc>
      </w:tr>
      <w:tr>
        <w:tc>
          <w:tcPr>
            <w:tcW w:type="dxa" w:w="4968"/>
            <w:vAlign w:val="center"/>
          </w:tcPr>
          <w:p>
            <w:r>
              <w:rPr>
                <w:rFonts w:ascii="Arial" w:hAnsi="Arial"/>
                <w:sz w:val="18"/>
              </w:rPr>
              <w:t>Mangueras</w:t>
            </w:r>
          </w:p>
        </w:tc>
        <w:tc>
          <w:tcPr>
            <w:tcW w:type="dxa" w:w="4968"/>
            <w:vAlign w:val="center"/>
          </w:tcPr>
          <w:p>
            <w:r>
              <w:rPr>
                <w:rFonts w:ascii="Arial" w:hAnsi="Arial"/>
                <w:sz w:val="18"/>
              </w:rPr>
              <w:t>Colores citados: granate, azul, verde, azul oscuro, rojo, azul medio y negro. En los apuntes se repite «azul».</w:t>
            </w:r>
          </w:p>
        </w:tc>
      </w:tr>
      <w:tr>
        <w:tc>
          <w:tcPr>
            <w:tcW w:type="dxa" w:w="4968"/>
            <w:vAlign w:val="center"/>
          </w:tcPr>
          <w:p>
            <w:r>
              <w:rPr>
                <w:rFonts w:ascii="Arial" w:hAnsi="Arial"/>
                <w:sz w:val="18"/>
              </w:rPr>
              <w:t>Uniformes</w:t>
            </w:r>
          </w:p>
        </w:tc>
        <w:tc>
          <w:tcPr>
            <w:tcW w:type="dxa" w:w="4968"/>
            <w:vAlign w:val="center"/>
          </w:tcPr>
          <w:p>
            <w:r>
              <w:rPr>
                <w:rFonts w:ascii="Arial" w:hAnsi="Arial"/>
                <w:sz w:val="18"/>
              </w:rPr>
              <w:t>Referencia inicial: 11 uniformes por compañía. No se verificó inventario físico en estos apuntes.</w:t>
            </w:r>
          </w:p>
        </w:tc>
      </w:tr>
      <w:tr>
        <w:tc>
          <w:tcPr>
            <w:tcW w:type="dxa" w:w="4968"/>
            <w:vAlign w:val="center"/>
          </w:tcPr>
          <w:p>
            <w:r>
              <w:rPr>
                <w:rFonts w:ascii="Arial" w:hAnsi="Arial"/>
                <w:sz w:val="18"/>
              </w:rPr>
              <w:t>Fuente de datos</w:t>
            </w:r>
          </w:p>
        </w:tc>
        <w:tc>
          <w:tcPr>
            <w:tcW w:type="dxa" w:w="4968"/>
            <w:vAlign w:val="center"/>
          </w:tcPr>
          <w:p>
            <w:r>
              <w:rPr>
                <w:rFonts w:ascii="Arial" w:hAnsi="Arial"/>
                <w:sz w:val="18"/>
              </w:rPr>
              <w:t>Se anotó que posteriormente se enviaría una planilla; este documento no certifica fecha de entrega.</w:t>
            </w:r>
          </w:p>
        </w:tc>
      </w:tr>
    </w:tbl>
    <w:p>
      <w:pPr>
        <w:pStyle w:val="Heading1"/>
      </w:pPr>
      <w:r>
        <w:t>4. Alcance y decisiones posteriores</w:t>
      </w:r>
    </w:p>
    <w:p>
      <w:r>
        <w:t>En los apuntes se plantea una posible expansión a nueve compañías. El alcance académico acordado por el estudiante para la implementación inicial quedó acotado a Bomberos de San Bernardo. Posteriormente se incorporó capacidad técnica multicompañía y se realizaron pruebas con una segunda compañía ficticia. Esas pruebas no equivalen a una instalación o aprobación en nueve compañías.</w:t>
      </w:r>
    </w:p>
    <w:p>
      <w:pPr>
        <w:pStyle w:val="Heading1"/>
      </w:pPr>
      <w:r>
        <w:t>5. Limitaciones de esta evidencia</w:t>
      </w:r>
    </w:p>
    <w:p>
      <w:r>
        <w:t>Las frases anteriores derivan exclusivamente de las notas disponibles. No se conoce con certeza la fecha, duración, identidad de asistentes ni acuerdos formalizados. Tampoco se adjunta una validación firmada por Bomberos. Para respaldar la implementación y el estado real de cada requisito deben consultarse por separado el código, los registros funcionales y las capturas del sistema.</w:t>
      </w:r>
    </w:p>
    <w:p>
      <w:pPr>
        <w:pStyle w:val="Heading1"/>
      </w:pPr>
      <w:r>
        <w:t>6. Transcripción literal de los apuntes</w:t>
      </w:r>
    </w:p>
    <w:p>
      <w:pPr>
        <w:spacing w:after="0" w:line="228" w:lineRule="auto"/>
      </w:pPr>
      <w:r>
        <w:rPr>
          <w:sz w:val="18"/>
        </w:rPr>
        <w:t>- Trabajan Planilla excel</w:t>
      </w:r>
    </w:p>
    <w:p>
      <w:pPr>
        <w:spacing w:after="0" w:line="228" w:lineRule="auto"/>
      </w:pPr>
      <w:r>
        <w:rPr>
          <w:sz w:val="18"/>
        </w:rPr>
        <w:t>-No tienen nada básicamente</w:t>
      </w:r>
    </w:p>
    <w:p>
      <w:pPr>
        <w:spacing w:after="0" w:line="228" w:lineRule="auto"/>
      </w:pPr>
      <w:r>
        <w:rPr>
          <w:sz w:val="18"/>
        </w:rPr>
        <w:t>-Han gastado más de lo que quiere</w:t>
      </w:r>
    </w:p>
    <w:p>
      <w:pPr>
        <w:spacing w:after="0" w:line="228" w:lineRule="auto"/>
      </w:pPr>
      <w:r>
        <w:rPr>
          <w:sz w:val="18"/>
        </w:rPr>
        <w:t>-Quieren tener un programa que converse entre todos( info)</w:t>
      </w:r>
    </w:p>
    <w:p>
      <w:pPr>
        <w:spacing w:after="0" w:line="228" w:lineRule="auto"/>
      </w:pPr>
      <w:r>
        <w:rPr>
          <w:sz w:val="18"/>
        </w:rPr>
        <w:t>Requerimientos:</w:t>
      </w:r>
    </w:p>
    <w:p>
      <w:pPr>
        <w:spacing w:after="0" w:line="228" w:lineRule="auto"/>
      </w:pPr>
      <w:r>
        <w:rPr>
          <w:sz w:val="18"/>
        </w:rPr>
        <w:t>-Fecha de vencimiento con reporte</w:t>
      </w:r>
    </w:p>
    <w:p>
      <w:pPr>
        <w:spacing w:after="0" w:line="228" w:lineRule="auto"/>
      </w:pPr>
      <w:r>
        <w:rPr>
          <w:sz w:val="18"/>
        </w:rPr>
        <w:t>-Mantenimiento con reporte</w:t>
      </w:r>
    </w:p>
    <w:p>
      <w:pPr>
        <w:spacing w:after="0" w:line="228" w:lineRule="auto"/>
      </w:pPr>
      <w:r>
        <w:rPr>
          <w:sz w:val="18"/>
        </w:rPr>
        <w:t>-Control de gastos y detalles de cada reparación.</w:t>
      </w:r>
    </w:p>
    <w:p>
      <w:pPr>
        <w:spacing w:after="0" w:line="228" w:lineRule="auto"/>
      </w:pPr>
      <w:r>
        <w:rPr>
          <w:sz w:val="18"/>
        </w:rPr>
        <w:t>-Check list diario de entrada y salida</w:t>
      </w:r>
    </w:p>
    <w:p>
      <w:pPr>
        <w:spacing w:after="0" w:line="228" w:lineRule="auto"/>
      </w:pPr>
      <w:r>
        <w:rPr>
          <w:sz w:val="18"/>
        </w:rPr>
        <w:t>- Modificación en base a la actual</w:t>
      </w:r>
    </w:p>
    <w:p>
      <w:pPr>
        <w:spacing w:after="0" w:line="228" w:lineRule="auto"/>
      </w:pPr>
      <w:r>
        <w:rPr>
          <w:sz w:val="18"/>
        </w:rPr>
        <w:t>-Informe de perdida de inventario</w:t>
      </w:r>
    </w:p>
    <w:p>
      <w:pPr>
        <w:spacing w:after="0" w:line="228" w:lineRule="auto"/>
      </w:pPr>
      <w:r>
        <w:rPr>
          <w:sz w:val="18"/>
        </w:rPr>
        <w:t>-Todo con valor monetario</w:t>
      </w:r>
    </w:p>
    <w:p>
      <w:pPr>
        <w:spacing w:after="0" w:line="228" w:lineRule="auto"/>
      </w:pPr>
      <w:r>
        <w:rPr>
          <w:sz w:val="18"/>
        </w:rPr>
        <w:t>-Proyecto escalable a 9 a compañías con inventario separado con 1 lider</w:t>
      </w:r>
    </w:p>
    <w:p>
      <w:pPr>
        <w:spacing w:after="0" w:line="228" w:lineRule="auto"/>
      </w:pPr>
    </w:p>
    <w:p>
      <w:pPr>
        <w:spacing w:after="0" w:line="228" w:lineRule="auto"/>
      </w:pPr>
      <w:r>
        <w:rPr>
          <w:sz w:val="18"/>
        </w:rPr>
        <w:t>Datos: (Después se enviará planilla)</w:t>
      </w:r>
    </w:p>
    <w:p>
      <w:pPr>
        <w:spacing w:after="0" w:line="228" w:lineRule="auto"/>
      </w:pPr>
    </w:p>
    <w:p>
      <w:pPr>
        <w:spacing w:after="0" w:line="228" w:lineRule="auto"/>
      </w:pPr>
      <w:r>
        <w:rPr>
          <w:sz w:val="18"/>
        </w:rPr>
        <w:t>Colores distintos en mangueras : granate, azul, verde, azul oscuro , rojo, azul medio ,negro ,azul</w:t>
      </w:r>
    </w:p>
    <w:p>
      <w:pPr>
        <w:spacing w:after="0" w:line="228" w:lineRule="auto"/>
      </w:pPr>
    </w:p>
    <w:p>
      <w:pPr>
        <w:spacing w:after="0" w:line="228" w:lineRule="auto"/>
      </w:pPr>
      <w:r>
        <w:rPr>
          <w:sz w:val="18"/>
        </w:rPr>
        <w:t>Informacion:</w:t>
      </w:r>
    </w:p>
    <w:p>
      <w:pPr>
        <w:spacing w:after="0" w:line="228" w:lineRule="auto"/>
      </w:pPr>
      <w:r>
        <w:rPr>
          <w:sz w:val="18"/>
        </w:rPr>
        <w:t>-Carros:</w:t>
      </w:r>
    </w:p>
    <w:p>
      <w:pPr>
        <w:spacing w:after="0" w:line="228" w:lineRule="auto"/>
      </w:pPr>
      <w:r>
        <w:rPr>
          <w:sz w:val="18"/>
        </w:rPr>
        <w:t>Patente</w:t>
      </w:r>
    </w:p>
    <w:p>
      <w:pPr>
        <w:spacing w:after="0" w:line="228" w:lineRule="auto"/>
      </w:pPr>
      <w:r>
        <w:rPr>
          <w:sz w:val="18"/>
        </w:rPr>
        <w:t>Gasolina</w:t>
      </w:r>
    </w:p>
    <w:p>
      <w:pPr>
        <w:spacing w:after="0" w:line="228" w:lineRule="auto"/>
      </w:pPr>
      <w:r>
        <w:rPr>
          <w:sz w:val="18"/>
        </w:rPr>
        <w:t>Kilómetros</w:t>
      </w:r>
    </w:p>
    <w:p>
      <w:pPr>
        <w:spacing w:after="0" w:line="228" w:lineRule="auto"/>
      </w:pPr>
      <w:r>
        <w:rPr>
          <w:sz w:val="18"/>
        </w:rPr>
        <w:t>Mantención</w:t>
      </w:r>
    </w:p>
    <w:p>
      <w:pPr>
        <w:spacing w:after="0" w:line="228" w:lineRule="auto"/>
      </w:pPr>
      <w:r>
        <w:rPr>
          <w:sz w:val="18"/>
        </w:rPr>
        <w:t>Horas de uso</w:t>
      </w:r>
    </w:p>
    <w:p>
      <w:pPr>
        <w:spacing w:after="0" w:line="228" w:lineRule="auto"/>
      </w:pPr>
      <w:r>
        <w:rPr>
          <w:sz w:val="18"/>
        </w:rPr>
        <w:t>Escala mecánica en horas</w:t>
      </w:r>
    </w:p>
    <w:p>
      <w:pPr>
        <w:spacing w:after="0" w:line="228" w:lineRule="auto"/>
      </w:pPr>
    </w:p>
    <w:p>
      <w:pPr>
        <w:spacing w:after="0" w:line="228" w:lineRule="auto"/>
      </w:pPr>
      <w:r>
        <w:rPr>
          <w:sz w:val="18"/>
        </w:rPr>
        <w:t>-Trajes inventario. 11 uniformes por compañía.</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Proyecto APT · Bomberos de San Bernardo  |  Registro documental de estudiante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E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E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2E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