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Matriz de trazabilidad de requerimientos</w:t>
      </w:r>
    </w:p>
    <w:p>
      <w:r>
        <w:t>Fuente de requisitos: apuntes personales de primera reunión. Estado: pruebas locales comunicadas por el estudiante y capturas facilitadas en octubre de 2026. Esta matriz no es un acta de aceptación institucional.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Código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Requisito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Situación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Sustento / limitación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R01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Vencimientos y reporte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Parcial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Alertas de vencimiento visibles; verificar existencia y alcance del reporte específico.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R02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Mantenimiento y reporte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Parcial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Formulario y registros de mantención comprobados; confirmar exportación del reporte específico.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R03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Gastos y detalles de reparación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Comprobación local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Registros de mantenimiento $100.000 y gasto $21.000 mostrados en capturas; importes de prueba.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R04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Checklist de entrada/salida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Parcial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Registro de entrada comprobado; no consta evidencia separada de una salida.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R05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Adaptar a la planilla existente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Comprobación local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Importación de Excel utilizada; conservar planilla original como fuente si puede publicarse.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R06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Informe de pérdidas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Comprobación local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Pérdida de una unidad valorizada en $50.000; descarga CSV disponible, no validada aquí.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R07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Todo con valor monetario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Parcial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Valorización individual comprobada; captura señala un artículo con precio entre 230 registros.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R08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Escalabilidad hasta nueve compañías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Parcial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Usuarios y compañías separados probados con segunda compañía ficticia; no hay despliegue ni validación en nueve.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R09*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Login y roles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Comprobación local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Función incorporada como decisión posterior de diseño, no citada en apuntes originales.</w:t>
            </w:r>
          </w:p>
        </w:tc>
      </w:tr>
    </w:tbl>
    <w:p>
      <w:r>
        <w:t>* R09 es una funcionalidad incorporada después del levantamiento inicial; se identifica por separado para no atribuirla a la primera reunión.</w:t>
      </w:r>
    </w:p>
    <w:p>
      <w:pPr>
        <w:pStyle w:val="Heading1"/>
      </w:pPr>
      <w:r>
        <w:t>Criterio para la planificación real</w:t>
      </w:r>
    </w:p>
    <w:p>
      <w:r>
        <w:t>Registrar en la Carta Gantt por separado la fecha planificada original, la fecha efectiva cuando exista respaldo, la modificación de metodología de Scrum a Crystal Clear y las tareas incorporadas posteriormente. No marcar como completado un hito sin evidencia y no sustituir fechas desconocidas por estimaciones presentadas como hechos.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6"/>
      </w:rPr>
      <w:t>Proyecto APT · Bomberos de San Bernardo  |  Registro documental de estudiante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2E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2E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B2E4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