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Arquitectura técnica del sistema</w:t>
      </w:r>
    </w:p>
    <w:p>
      <w:pPr>
        <w:pStyle w:val="Subtitle"/>
      </w:pPr>
      <w:r>
        <w:t>Descripción de los componentes verificados en el código fuente</w:t>
      </w:r>
    </w:p>
    <w:p>
      <w:r>
        <w:t>Proyecto APT | Sistema de Gestión de Inventario y Mantenimiento para Bomberos de San Bernardo</w:t>
      </w:r>
    </w:p>
    <w:p>
      <w:r>
        <w:t>Autor: Benjamín Andrés Sandoval Robles | Octubre de 2026</w:t>
      </w:r>
    </w:p>
    <w:p>
      <w:r>
        <w:t>Alcance documental: desarrollo individual, pruebas locales y evidencia disponible; no constituye aprobación institucional.</w:t>
      </w:r>
    </w:p>
    <w:p/>
    <w:p>
      <w:pPr>
        <w:pStyle w:val="Heading1"/>
      </w:pPr>
      <w:r>
        <w:t>Componentes y flujo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Capa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Responsabilidad</w:t>
            </w:r>
          </w:p>
        </w:tc>
      </w:tr>
      <w:tr>
        <w:tc>
          <w:tcPr>
            <w:tcW w:type="dxa" w:w="2880"/>
          </w:tcPr>
          <w:p>
            <w:r>
              <w:t>Interfaz</w:t>
            </w:r>
          </w:p>
        </w:tc>
        <w:tc>
          <w:tcPr>
            <w:tcW w:type="dxa" w:w="2880"/>
          </w:tcPr>
          <w:p>
            <w:r>
              <w:t>HTML, CSS y JavaScript</w:t>
            </w:r>
          </w:p>
        </w:tc>
        <w:tc>
          <w:tcPr>
            <w:tcW w:type="dxa" w:w="2880"/>
          </w:tcPr>
          <w:p>
            <w:r>
              <w:t>Formularios, búsqueda, alertas, administración y visualización</w:t>
            </w:r>
          </w:p>
        </w:tc>
      </w:tr>
      <w:tr>
        <w:tc>
          <w:tcPr>
            <w:tcW w:type="dxa" w:w="2880"/>
          </w:tcPr>
          <w:p>
            <w:r>
              <w:t>Servidor</w:t>
            </w:r>
          </w:p>
        </w:tc>
        <w:tc>
          <w:tcPr>
            <w:tcW w:type="dxa" w:w="2880"/>
          </w:tcPr>
          <w:p>
            <w:r>
              <w:t>Python y Flask</w:t>
            </w:r>
          </w:p>
        </w:tc>
        <w:tc>
          <w:tcPr>
            <w:tcW w:type="dxa" w:w="2880"/>
          </w:tcPr>
          <w:p>
            <w:r>
              <w:t>API REST, validación de datos, sesiones y permisos</w:t>
            </w:r>
          </w:p>
        </w:tc>
      </w:tr>
      <w:tr>
        <w:tc>
          <w:tcPr>
            <w:tcW w:type="dxa" w:w="2880"/>
          </w:tcPr>
          <w:p>
            <w:r>
              <w:t>Datos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Tablas relacionadas; almacenamiento persistente en archivo local</w:t>
            </w:r>
          </w:p>
        </w:tc>
      </w:tr>
      <w:tr>
        <w:tc>
          <w:tcPr>
            <w:tcW w:type="dxa" w:w="2880"/>
          </w:tcPr>
          <w:p>
            <w:r>
              <w:t>Intercambio</w:t>
            </w:r>
          </w:p>
        </w:tc>
        <w:tc>
          <w:tcPr>
            <w:tcW w:type="dxa" w:w="2880"/>
          </w:tcPr>
          <w:p>
            <w:r>
              <w:t>Excel y CSV</w:t>
            </w:r>
          </w:p>
        </w:tc>
        <w:tc>
          <w:tcPr>
            <w:tcW w:type="dxa" w:w="2880"/>
          </w:tcPr>
          <w:p>
            <w:r>
              <w:t>Carga/exportación de inventario; reporte de pérdidas en CSV</w:t>
            </w:r>
          </w:p>
        </w:tc>
      </w:tr>
    </w:tbl>
    <w:p>
      <w:r>
        <w:t>Flujo lógico: navegador → solicitudes HTTP a rutas /api/* → validaciones de Flask → consultas/transacciones SQLite → respuesta JSON o archivo → actualización de la pantalla.</w:t>
      </w:r>
    </w:p>
    <w:p>
      <w:pPr>
        <w:pStyle w:val="Heading1"/>
      </w:pPr>
      <w:r>
        <w:t>Rutas relevantes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Sección</w:t>
            </w:r>
          </w:p>
        </w:tc>
        <w:tc>
          <w:tcPr>
            <w:tcW w:type="dxa" w:w="4320"/>
          </w:tcPr>
          <w:p>
            <w:r>
              <w:t>Rutas API presentes</w:t>
            </w:r>
          </w:p>
        </w:tc>
      </w:tr>
      <w:tr>
        <w:tc>
          <w:tcPr>
            <w:tcW w:type="dxa" w:w="4320"/>
          </w:tcPr>
          <w:p>
            <w:r>
              <w:t>Acceso</w:t>
            </w:r>
          </w:p>
        </w:tc>
        <w:tc>
          <w:tcPr>
            <w:tcW w:type="dxa" w:w="4320"/>
          </w:tcPr>
          <w:p>
            <w:r>
              <w:t>/api/login, /api/logout, /api/yo</w:t>
            </w:r>
          </w:p>
        </w:tc>
      </w:tr>
      <w:tr>
        <w:tc>
          <w:tcPr>
            <w:tcW w:type="dxa" w:w="4320"/>
          </w:tcPr>
          <w:p>
            <w:r>
              <w:t>Administración</w:t>
            </w:r>
          </w:p>
        </w:tc>
        <w:tc>
          <w:tcPr>
            <w:tcW w:type="dxa" w:w="4320"/>
          </w:tcPr>
          <w:p>
            <w:r>
              <w:t>/api/companias, /api/usuarios, /api/seleccionar-compania</w:t>
            </w:r>
          </w:p>
        </w:tc>
      </w:tr>
      <w:tr>
        <w:tc>
          <w:tcPr>
            <w:tcW w:type="dxa" w:w="4320"/>
          </w:tcPr>
          <w:p>
            <w:r>
              <w:t>Inventario</w:t>
            </w:r>
          </w:p>
        </w:tc>
        <w:tc>
          <w:tcPr>
            <w:tcW w:type="dxa" w:w="4320"/>
          </w:tcPr>
          <w:p>
            <w:r>
              <w:t>/api/items, /api/unidades, /api/importar, /api/exportar.xlsx</w:t>
            </w:r>
          </w:p>
        </w:tc>
      </w:tr>
      <w:tr>
        <w:tc>
          <w:tcPr>
            <w:tcW w:type="dxa" w:w="4320"/>
          </w:tcPr>
          <w:p>
            <w:r>
              <w:t>Operaciones</w:t>
            </w:r>
          </w:p>
        </w:tc>
        <w:tc>
          <w:tcPr>
            <w:tcW w:type="dxa" w:w="4320"/>
          </w:tcPr>
          <w:p>
            <w:r>
              <w:t>/api/mantenimientos, /api/gastos, /api/checklist</w:t>
            </w:r>
          </w:p>
        </w:tc>
      </w:tr>
      <w:tr>
        <w:tc>
          <w:tcPr>
            <w:tcW w:type="dxa" w:w="4320"/>
          </w:tcPr>
          <w:p>
            <w:r>
              <w:t>Valorización y pérdidas</w:t>
            </w:r>
          </w:p>
        </w:tc>
        <w:tc>
          <w:tcPr>
            <w:tcW w:type="dxa" w:w="4320"/>
          </w:tcPr>
          <w:p>
            <w:r>
              <w:t>/api/valorizacion, /api/resumen-economico, /api/perdidas, /api/reporte-perdidas</w:t>
            </w:r>
          </w:p>
        </w:tc>
      </w:tr>
    </w:tbl>
    <w:p>
      <w:pPr>
        <w:pStyle w:val="Heading1"/>
      </w:pPr>
      <w:r>
        <w:t>Separación por compañía</w:t>
      </w:r>
    </w:p>
    <w:p>
      <w:r>
        <w:t>Los registros operativos incorporan compania_id; el servidor obtiene la compañía de la sesión y el rol. La interfaz de una segunda compañía se observó sin los artículos de la primera. Esto es evidencia de segregación funcional, no una auditoría completa contra acceso indebido.</w:t>
      </w:r>
    </w:p>
    <w:p>
      <w:pPr>
        <w:pStyle w:val="Heading1"/>
      </w:pPr>
      <w:r>
        <w:t>Seguridad y limitaciones</w:t>
      </w:r>
    </w:p>
    <w:p>
      <w:r>
        <w:t>El servidor utiliza contraseñas almacenadas como hash, sesiones con duración configurada y restricciones por rol en rutas API. En el código existen cabeceras de seguridad básicas. No se deben prometer protección absoluta ni acceso remoto: el servicio sigue instalado localmente; su futura publicación exige HTTPS, un servidor seguro, controles de acceso y un procedimiento de respaldo y recuperación.</w:t>
      </w:r>
    </w:p>
    <w:sectPr w:rsidR="00FC693F" w:rsidRPr="0006063C" w:rsidSect="00034616"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A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2A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A3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