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de base de datos</w:t>
      </w:r>
    </w:p>
    <w:p>
      <w:pPr>
        <w:pStyle w:val="Subtitle"/>
      </w:pPr>
      <w:r>
        <w:t>Diccionario lógico a partir del archivo backend/db.py</w:t>
      </w:r>
    </w:p>
    <w:p>
      <w:r>
        <w:t>Proyecto APT | Sistema de Gestión de Inventario y Mantenimiento para Bomberos de San Bernardo</w:t>
      </w:r>
    </w:p>
    <w:p>
      <w:r>
        <w:t>Autor: Benjamín Andrés Sandoval Robles | Octubre de 2026</w:t>
      </w:r>
    </w:p>
    <w:p>
      <w:r>
        <w:t>Alcance documental: desarrollo individual, pruebas locales y evidencia disponible; no constituye aprobación institucional.</w:t>
      </w:r>
    </w:p>
    <w:p/>
    <w:p>
      <w:pPr>
        <w:pStyle w:val="Heading1"/>
      </w:pPr>
      <w:r>
        <w:t>Entidades identificadas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Tabla</w:t>
            </w:r>
          </w:p>
        </w:tc>
        <w:tc>
          <w:tcPr>
            <w:tcW w:type="dxa" w:w="2880"/>
          </w:tcPr>
          <w:p>
            <w:r>
              <w:t>Información almacenada</w:t>
            </w:r>
          </w:p>
        </w:tc>
        <w:tc>
          <w:tcPr>
            <w:tcW w:type="dxa" w:w="2880"/>
          </w:tcPr>
          <w:p>
            <w:r>
              <w:t>Relaciones relevantes</w:t>
            </w:r>
          </w:p>
        </w:tc>
      </w:tr>
      <w:tr>
        <w:tc>
          <w:tcPr>
            <w:tcW w:type="dxa" w:w="2880"/>
          </w:tcPr>
          <w:p>
            <w:r>
              <w:t>companias</w:t>
            </w:r>
          </w:p>
        </w:tc>
        <w:tc>
          <w:tcPr>
            <w:tcW w:type="dxa" w:w="2880"/>
          </w:tcPr>
          <w:p>
            <w:r>
              <w:t>ID, nombre y estado</w:t>
            </w:r>
          </w:p>
        </w:tc>
        <w:tc>
          <w:tcPr>
            <w:tcW w:type="dxa" w:w="2880"/>
          </w:tcPr>
          <w:p>
            <w:r>
              <w:t>Referencia para separar registros</w:t>
            </w:r>
          </w:p>
        </w:tc>
      </w:tr>
      <w:tr>
        <w:tc>
          <w:tcPr>
            <w:tcW w:type="dxa" w:w="2880"/>
          </w:tcPr>
          <w:p>
            <w:r>
              <w:t>usuarios</w:t>
            </w:r>
          </w:p>
        </w:tc>
        <w:tc>
          <w:tcPr>
            <w:tcW w:type="dxa" w:w="2880"/>
          </w:tcPr>
          <w:p>
            <w:r>
              <w:t>Nombre, usuario, rol, hash de contraseña, activo</w:t>
            </w:r>
          </w:p>
        </w:tc>
        <w:tc>
          <w:tcPr>
            <w:tcW w:type="dxa" w:w="2880"/>
          </w:tcPr>
          <w:p>
            <w:r>
              <w:t>compania_id para encargado y bombero; admin global</w:t>
            </w:r>
          </w:p>
        </w:tc>
      </w:tr>
      <w:tr>
        <w:tc>
          <w:tcPr>
            <w:tcW w:type="dxa" w:w="2880"/>
          </w:tcPr>
          <w:p>
            <w:r>
              <w:t>compania_unidades</w:t>
            </w:r>
          </w:p>
        </w:tc>
        <w:tc>
          <w:tcPr>
            <w:tcW w:type="dxa" w:w="2880"/>
          </w:tcPr>
          <w:p>
            <w:r>
              <w:t>Unidades por compañía y responsable</w:t>
            </w:r>
          </w:p>
        </w:tc>
        <w:tc>
          <w:tcPr>
            <w:tcW w:type="dxa" w:w="2880"/>
          </w:tcPr>
          <w:p>
            <w:r>
              <w:t>Clave compuesta compania_id y nombre</w:t>
            </w:r>
          </w:p>
        </w:tc>
      </w:tr>
      <w:tr>
        <w:tc>
          <w:tcPr>
            <w:tcW w:type="dxa" w:w="2880"/>
          </w:tcPr>
          <w:p>
            <w:r>
              <w:t>unidades</w:t>
            </w:r>
          </w:p>
        </w:tc>
        <w:tc>
          <w:tcPr>
            <w:tcW w:type="dxa" w:w="2880"/>
          </w:tcPr>
          <w:p>
            <w:r>
              <w:t>Catálogo inicial de unidades</w:t>
            </w:r>
          </w:p>
        </w:tc>
        <w:tc>
          <w:tcPr>
            <w:tcW w:type="dxa" w:w="2880"/>
          </w:tcPr>
          <w:p>
            <w:r>
              <w:t>Compatibilidad con datos preexistentes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Artículos, cantidades, estado, vencimientos, valor unitario</w:t>
            </w:r>
          </w:p>
        </w:tc>
        <w:tc>
          <w:tcPr>
            <w:tcW w:type="dxa" w:w="2880"/>
          </w:tcPr>
          <w:p>
            <w:r>
              <w:t>compania_id, unidad</w:t>
            </w:r>
          </w:p>
        </w:tc>
      </w:tr>
      <w:tr>
        <w:tc>
          <w:tcPr>
            <w:tcW w:type="dxa" w:w="2880"/>
          </w:tcPr>
          <w:p>
            <w:r>
              <w:t>mantenimientos</w:t>
            </w:r>
          </w:p>
        </w:tc>
        <w:tc>
          <w:tcPr>
            <w:tcW w:type="dxa" w:w="2880"/>
          </w:tcPr>
          <w:p>
            <w:r>
              <w:t>Fecha, tipo, descripción, costo, km, horas y responsable</w:t>
            </w:r>
          </w:p>
        </w:tc>
        <w:tc>
          <w:tcPr>
            <w:tcW w:type="dxa" w:w="2880"/>
          </w:tcPr>
          <w:p>
            <w:r>
              <w:t>compania_id y item_id opcional</w:t>
            </w:r>
          </w:p>
        </w:tc>
      </w:tr>
      <w:tr>
        <w:tc>
          <w:tcPr>
            <w:tcW w:type="dxa" w:w="2880"/>
          </w:tcPr>
          <w:p>
            <w:r>
              <w:t>movimientos_gasto</w:t>
            </w:r>
          </w:p>
        </w:tc>
        <w:tc>
          <w:tcPr>
            <w:tcW w:type="dxa" w:w="2880"/>
          </w:tcPr>
          <w:p>
            <w:r>
              <w:t>Gastos, concepto, categoría y monto</w:t>
            </w:r>
          </w:p>
        </w:tc>
        <w:tc>
          <w:tcPr>
            <w:tcW w:type="dxa" w:w="2880"/>
          </w:tcPr>
          <w:p>
            <w:r>
              <w:t>compania_id</w:t>
            </w:r>
          </w:p>
        </w:tc>
      </w:tr>
      <w:tr>
        <w:tc>
          <w:tcPr>
            <w:tcW w:type="dxa" w:w="2880"/>
          </w:tcPr>
          <w:p>
            <w:r>
              <w:t>checklist</w:t>
            </w:r>
          </w:p>
        </w:tc>
        <w:tc>
          <w:tcPr>
            <w:tcW w:type="dxa" w:w="2880"/>
          </w:tcPr>
          <w:p>
            <w:r>
              <w:t>Revisión por fecha, unidad, turno, responsable</w:t>
            </w:r>
          </w:p>
        </w:tc>
        <w:tc>
          <w:tcPr>
            <w:tcW w:type="dxa" w:w="2880"/>
          </w:tcPr>
          <w:p>
            <w:r>
              <w:t>compania_id; unicidad por compañía/fecha/unidad/turno</w:t>
            </w:r>
          </w:p>
        </w:tc>
      </w:tr>
      <w:tr>
        <w:tc>
          <w:tcPr>
            <w:tcW w:type="dxa" w:w="2880"/>
          </w:tcPr>
          <w:p>
            <w:r>
              <w:t>perdidas</w:t>
            </w:r>
          </w:p>
        </w:tc>
        <w:tc>
          <w:tcPr>
            <w:tcW w:type="dxa" w:w="2880"/>
          </w:tcPr>
          <w:p>
            <w:r>
              <w:t>Artículo, unidades perdidas, valor unitario histórico y motivo</w:t>
            </w:r>
          </w:p>
        </w:tc>
        <w:tc>
          <w:tcPr>
            <w:tcW w:type="dxa" w:w="2880"/>
          </w:tcPr>
          <w:p>
            <w:r>
              <w:t>compania_id, item_id y registrado_por</w:t>
            </w:r>
          </w:p>
        </w:tc>
      </w:tr>
    </w:tbl>
    <w:p>
      <w:pPr>
        <w:pStyle w:val="Heading1"/>
      </w:pPr>
      <w:r>
        <w:t>Relaciones lógicas</w:t>
      </w:r>
    </w:p>
    <w:p>
      <w:r>
        <w:t>Una compañía puede disponer de varios usuarios, vehículos/unidades, artículos y registros operativos. Cada pérdida conserva el valor unitario del artículo al momento de registrar la operación. El campo compania_id se agregó mediante una migración conservadora que asigna los registros históricos a la compañía inicial. La implementación incluye algunas relaciones de referencia por nombre de unidad; no debe describirse como modelo relacional enteramente normalizado ni con integridad referencial absoluta.</w:t>
      </w:r>
    </w:p>
    <w:p>
      <w:pPr>
        <w:pStyle w:val="Heading1"/>
      </w:pPr>
      <w:r>
        <w:t>Persistencia y publicación responsable</w:t>
      </w:r>
    </w:p>
    <w:p>
      <w:r>
        <w:t>El archivo inventario.db real no debe publicarse: podría incluir usuarios, registros institucionales y datos de operaciones. Para GitHub se publica el código de construcción/migración y el esquema SQL sin datos reales. El esquema debe considerarse una representación de la versión de código entregada.</w:t>
      </w:r>
    </w:p>
    <w:sectPr w:rsidR="00FC693F" w:rsidRPr="0006063C" w:rsidSect="00034616"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A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2A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A3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