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pruebas funcionales</w:t>
      </w:r>
    </w:p>
    <w:p>
      <w:pPr>
        <w:pStyle w:val="Subtitle"/>
      </w:pPr>
      <w:r>
        <w:t>Matriz de evidencias con resultados informados y límites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Criterio de clasificación</w:t>
      </w:r>
    </w:p>
    <w:p>
      <w:r>
        <w:t>«Probado localmente» se basa en los pasos realizados por el estudiante y capturas de la interfaz; no equivale a acta de aceptación de Bomberos. «Pendiente» significa que no contamos con evidencia específica suficiente. Las pruebas de ejemplo utilizan materiales y montos ficticios.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Caso</w:t>
            </w:r>
          </w:p>
        </w:tc>
        <w:tc>
          <w:tcPr>
            <w:tcW w:type="dxa" w:w="1728"/>
          </w:tcPr>
          <w:p>
            <w:r>
              <w:t>Acción</w:t>
            </w:r>
          </w:p>
        </w:tc>
        <w:tc>
          <w:tcPr>
            <w:tcW w:type="dxa" w:w="1728"/>
          </w:tcPr>
          <w:p>
            <w:r>
              <w:t>Resultado esperado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Evidencia</w:t>
            </w:r>
          </w:p>
        </w:tc>
      </w:tr>
      <w:tr>
        <w:tc>
          <w:tcPr>
            <w:tcW w:type="dxa" w:w="1728"/>
          </w:tcPr>
          <w:p>
            <w:r>
              <w:t>PF-01</w:t>
            </w:r>
          </w:p>
        </w:tc>
        <w:tc>
          <w:tcPr>
            <w:tcW w:type="dxa" w:w="1728"/>
          </w:tcPr>
          <w:p>
            <w:r>
              <w:t>Login de administrador y bombero</w:t>
            </w:r>
          </w:p>
        </w:tc>
        <w:tc>
          <w:tcPr>
            <w:tcW w:type="dxa" w:w="1728"/>
          </w:tcPr>
          <w:p>
            <w:r>
              <w:t>Acceso correcto con perfiles distintos</w:t>
            </w:r>
          </w:p>
        </w:tc>
        <w:tc>
          <w:tcPr>
            <w:tcW w:type="dxa" w:w="1728"/>
          </w:tcPr>
          <w:p>
            <w:r>
              <w:t>Aprobado en prueba local</w:t>
            </w:r>
          </w:p>
        </w:tc>
        <w:tc>
          <w:tcPr>
            <w:tcW w:type="dxa" w:w="1728"/>
          </w:tcPr>
          <w:p>
            <w:r>
              <w:t>01_Inicio_sesion.png; 09_Administracion_usuarios.png</w:t>
            </w:r>
          </w:p>
        </w:tc>
      </w:tr>
      <w:tr>
        <w:tc>
          <w:tcPr>
            <w:tcW w:type="dxa" w:w="1728"/>
          </w:tcPr>
          <w:p>
            <w:r>
              <w:t>PF-02</w:t>
            </w:r>
          </w:p>
        </w:tc>
        <w:tc>
          <w:tcPr>
            <w:tcW w:type="dxa" w:w="1728"/>
          </w:tcPr>
          <w:p>
            <w:r>
              <w:t>Inventario principal</w:t>
            </w:r>
          </w:p>
        </w:tc>
        <w:tc>
          <w:tcPr>
            <w:tcW w:type="dxa" w:w="1728"/>
          </w:tcPr>
          <w:p>
            <w:r>
              <w:t>Listado, alertas, totales</w:t>
            </w:r>
          </w:p>
        </w:tc>
        <w:tc>
          <w:tcPr>
            <w:tcW w:type="dxa" w:w="1728"/>
          </w:tcPr>
          <w:p>
            <w:r>
              <w:t>Aprobado visualmente</w:t>
            </w:r>
          </w:p>
        </w:tc>
        <w:tc>
          <w:tcPr>
            <w:tcW w:type="dxa" w:w="1728"/>
          </w:tcPr>
          <w:p>
            <w:r>
              <w:t>02_Inventario_San_Bernardo.png</w:t>
            </w:r>
          </w:p>
        </w:tc>
      </w:tr>
      <w:tr>
        <w:tc>
          <w:tcPr>
            <w:tcW w:type="dxa" w:w="1728"/>
          </w:tcPr>
          <w:p>
            <w:r>
              <w:t>PF-03</w:t>
            </w:r>
          </w:p>
        </w:tc>
        <w:tc>
          <w:tcPr>
            <w:tcW w:type="dxa" w:w="1728"/>
          </w:tcPr>
          <w:p>
            <w:r>
              <w:t>Separación de compañías</w:t>
            </w:r>
          </w:p>
        </w:tc>
        <w:tc>
          <w:tcPr>
            <w:tcW w:type="dxa" w:w="1728"/>
          </w:tcPr>
          <w:p>
            <w:r>
              <w:t>Artículo de prueba aislado por compañía</w:t>
            </w:r>
          </w:p>
        </w:tc>
        <w:tc>
          <w:tcPr>
            <w:tcW w:type="dxa" w:w="1728"/>
          </w:tcPr>
          <w:p>
            <w:r>
              <w:t>Aprobado visualmente; auditoría API pendiente</w:t>
            </w:r>
          </w:p>
        </w:tc>
        <w:tc>
          <w:tcPr>
            <w:tcW w:type="dxa" w:w="1728"/>
          </w:tcPr>
          <w:p>
            <w:r>
              <w:t>03_Inventario_otra_compania.png</w:t>
            </w:r>
          </w:p>
        </w:tc>
      </w:tr>
      <w:tr>
        <w:tc>
          <w:tcPr>
            <w:tcW w:type="dxa" w:w="1728"/>
          </w:tcPr>
          <w:p>
            <w:r>
              <w:t>PF-04</w:t>
            </w:r>
          </w:p>
        </w:tc>
        <w:tc>
          <w:tcPr>
            <w:tcW w:type="dxa" w:w="1728"/>
          </w:tcPr>
          <w:p>
            <w:r>
              <w:t>Persistencia SQLite</w:t>
            </w:r>
          </w:p>
        </w:tc>
        <w:tc>
          <w:tcPr>
            <w:tcW w:type="dxa" w:w="1728"/>
          </w:tcPr>
          <w:p>
            <w:r>
              <w:t>Datos presentes tras F5 y detener Flask</w:t>
            </w:r>
          </w:p>
        </w:tc>
        <w:tc>
          <w:tcPr>
            <w:tcW w:type="dxa" w:w="1728"/>
          </w:tcPr>
          <w:p>
            <w:r>
              <w:t>Aprobado según comprobación del estudiante</w:t>
            </w:r>
          </w:p>
        </w:tc>
        <w:tc>
          <w:tcPr>
            <w:tcW w:type="dxa" w:w="1728"/>
          </w:tcPr>
          <w:p>
            <w:r>
              <w:t>Prueba relatada en revisión</w:t>
            </w:r>
          </w:p>
        </w:tc>
      </w:tr>
      <w:tr>
        <w:tc>
          <w:tcPr>
            <w:tcW w:type="dxa" w:w="1728"/>
          </w:tcPr>
          <w:p>
            <w:r>
              <w:t>PF-05</w:t>
            </w:r>
          </w:p>
        </w:tc>
        <w:tc>
          <w:tcPr>
            <w:tcW w:type="dxa" w:w="1728"/>
          </w:tcPr>
          <w:p>
            <w:r>
              <w:t>Valor unitario</w:t>
            </w:r>
          </w:p>
        </w:tc>
        <w:tc>
          <w:tcPr>
            <w:tcW w:type="dxa" w:w="1728"/>
          </w:tcPr>
          <w:p>
            <w:r>
              <w:t>Dos unidades a $50.000 y cálculo total</w:t>
            </w:r>
          </w:p>
        </w:tc>
        <w:tc>
          <w:tcPr>
            <w:tcW w:type="dxa" w:w="1728"/>
          </w:tcPr>
          <w:p>
            <w:r>
              <w:t>Aprobado en prueba local; cobertura parcial</w:t>
            </w:r>
          </w:p>
        </w:tc>
        <w:tc>
          <w:tcPr>
            <w:tcW w:type="dxa" w:w="1728"/>
          </w:tcPr>
          <w:p>
            <w:r>
              <w:t>04_Valorizacion_parcial.png</w:t>
            </w:r>
          </w:p>
        </w:tc>
      </w:tr>
      <w:tr>
        <w:tc>
          <w:tcPr>
            <w:tcW w:type="dxa" w:w="1728"/>
          </w:tcPr>
          <w:p>
            <w:r>
              <w:t>PF-06</w:t>
            </w:r>
          </w:p>
        </w:tc>
        <w:tc>
          <w:tcPr>
            <w:tcW w:type="dxa" w:w="1728"/>
          </w:tcPr>
          <w:p>
            <w:r>
              <w:t>Mantenimiento</w:t>
            </w:r>
          </w:p>
        </w:tc>
        <w:tc>
          <w:tcPr>
            <w:tcW w:type="dxa" w:w="1728"/>
          </w:tcPr>
          <w:p>
            <w:r>
              <w:t>Registro preventivo $100.000</w:t>
            </w:r>
          </w:p>
        </w:tc>
        <w:tc>
          <w:tcPr>
            <w:tcW w:type="dxa" w:w="1728"/>
          </w:tcPr>
          <w:p>
            <w:r>
              <w:t>Aprobado localmente</w:t>
            </w:r>
          </w:p>
        </w:tc>
        <w:tc>
          <w:tcPr>
            <w:tcW w:type="dxa" w:w="1728"/>
          </w:tcPr>
          <w:p>
            <w:r>
              <w:t>05_Mantenimiento_prueba.png</w:t>
            </w:r>
          </w:p>
        </w:tc>
      </w:tr>
      <w:tr>
        <w:tc>
          <w:tcPr>
            <w:tcW w:type="dxa" w:w="1728"/>
          </w:tcPr>
          <w:p>
            <w:r>
              <w:t>PF-07</w:t>
            </w:r>
          </w:p>
        </w:tc>
        <w:tc>
          <w:tcPr>
            <w:tcW w:type="dxa" w:w="1728"/>
          </w:tcPr>
          <w:p>
            <w:r>
              <w:t>Gastos</w:t>
            </w:r>
          </w:p>
        </w:tc>
        <w:tc>
          <w:tcPr>
            <w:tcW w:type="dxa" w:w="1728"/>
          </w:tcPr>
          <w:p>
            <w:r>
              <w:t>Gasto $21.000; total combinado $121.000</w:t>
            </w:r>
          </w:p>
        </w:tc>
        <w:tc>
          <w:tcPr>
            <w:tcW w:type="dxa" w:w="1728"/>
          </w:tcPr>
          <w:p>
            <w:r>
              <w:t>Aprobado localmente</w:t>
            </w:r>
          </w:p>
        </w:tc>
        <w:tc>
          <w:tcPr>
            <w:tcW w:type="dxa" w:w="1728"/>
          </w:tcPr>
          <w:p>
            <w:r>
              <w:t>06_Gastos_prueba.png</w:t>
            </w:r>
          </w:p>
        </w:tc>
      </w:tr>
      <w:tr>
        <w:tc>
          <w:tcPr>
            <w:tcW w:type="dxa" w:w="1728"/>
          </w:tcPr>
          <w:p>
            <w:r>
              <w:t>PF-08</w:t>
            </w:r>
          </w:p>
        </w:tc>
        <w:tc>
          <w:tcPr>
            <w:tcW w:type="dxa" w:w="1728"/>
          </w:tcPr>
          <w:p>
            <w:r>
              <w:t>Checklist</w:t>
            </w:r>
          </w:p>
        </w:tc>
        <w:tc>
          <w:tcPr>
            <w:tcW w:type="dxa" w:w="1728"/>
          </w:tcPr>
          <w:p>
            <w:r>
              <w:t>Registro de entrada y responsable</w:t>
            </w:r>
          </w:p>
        </w:tc>
        <w:tc>
          <w:tcPr>
            <w:tcW w:type="dxa" w:w="1728"/>
          </w:tcPr>
          <w:p>
            <w:r>
              <w:t>Aprobado localmente</w:t>
            </w:r>
          </w:p>
        </w:tc>
        <w:tc>
          <w:tcPr>
            <w:tcW w:type="dxa" w:w="1728"/>
          </w:tcPr>
          <w:p>
            <w:r>
              <w:t>07_Checklist_prueba.png</w:t>
            </w:r>
          </w:p>
        </w:tc>
      </w:tr>
      <w:tr>
        <w:tc>
          <w:tcPr>
            <w:tcW w:type="dxa" w:w="1728"/>
          </w:tcPr>
          <w:p>
            <w:r>
              <w:t>PF-09</w:t>
            </w:r>
          </w:p>
        </w:tc>
        <w:tc>
          <w:tcPr>
            <w:tcW w:type="dxa" w:w="1728"/>
          </w:tcPr>
          <w:p>
            <w:r>
              <w:t>Pérdida de un artículo</w:t>
            </w:r>
          </w:p>
        </w:tc>
        <w:tc>
          <w:tcPr>
            <w:tcW w:type="dxa" w:w="1728"/>
          </w:tcPr>
          <w:p>
            <w:r>
              <w:t>Stock 2→1 y valor histórico $50.000</w:t>
            </w:r>
          </w:p>
        </w:tc>
        <w:tc>
          <w:tcPr>
            <w:tcW w:type="dxa" w:w="1728"/>
          </w:tcPr>
          <w:p>
            <w:r>
              <w:t>Aprobado en prueba local</w:t>
            </w:r>
          </w:p>
        </w:tc>
        <w:tc>
          <w:tcPr>
            <w:tcW w:type="dxa" w:w="1728"/>
          </w:tcPr>
          <w:p>
            <w:r>
              <w:t>08_Perdida_prueba.png</w:t>
            </w:r>
          </w:p>
        </w:tc>
      </w:tr>
      <w:tr>
        <w:tc>
          <w:tcPr>
            <w:tcW w:type="dxa" w:w="1728"/>
          </w:tcPr>
          <w:p>
            <w:r>
              <w:t>PF-10</w:t>
            </w:r>
          </w:p>
        </w:tc>
        <w:tc>
          <w:tcPr>
            <w:tcW w:type="dxa" w:w="1728"/>
          </w:tcPr>
          <w:p>
            <w:r>
              <w:t>Exportación CSV pérdidas</w:t>
            </w:r>
          </w:p>
        </w:tc>
        <w:tc>
          <w:tcPr>
            <w:tcW w:type="dxa" w:w="1728"/>
          </w:tcPr>
          <w:p>
            <w:r>
              <w:t>Descarga y apertura del archivo</w:t>
            </w:r>
          </w:p>
        </w:tc>
        <w:tc>
          <w:tcPr>
            <w:tcW w:type="dxa" w:w="1728"/>
          </w:tcPr>
          <w:p>
            <w:r>
              <w:t>Pendiente de evidencia específica</w:t>
            </w:r>
          </w:p>
        </w:tc>
        <w:tc>
          <w:tcPr>
            <w:tcW w:type="dxa" w:w="1728"/>
          </w:tcPr>
          <w:p>
            <w:r>
              <w:t>Botón visible en 08_Perdida_prueba.png</w:t>
            </w:r>
          </w:p>
        </w:tc>
      </w:tr>
      <w:tr>
        <w:tc>
          <w:tcPr>
            <w:tcW w:type="dxa" w:w="1728"/>
          </w:tcPr>
          <w:p>
            <w:r>
              <w:t>PF-11</w:t>
            </w:r>
          </w:p>
        </w:tc>
        <w:tc>
          <w:tcPr>
            <w:tcW w:type="dxa" w:w="1728"/>
          </w:tcPr>
          <w:p>
            <w:r>
              <w:t>Despliegue desde otros PC</w:t>
            </w:r>
          </w:p>
        </w:tc>
        <w:tc>
          <w:tcPr>
            <w:tcW w:type="dxa" w:w="1728"/>
          </w:tcPr>
          <w:p>
            <w:r>
              <w:t>Acceso seguro multiusuario por red</w:t>
            </w:r>
          </w:p>
        </w:tc>
        <w:tc>
          <w:tcPr>
            <w:tcW w:type="dxa" w:w="1728"/>
          </w:tcPr>
          <w:p>
            <w:r>
              <w:t>No realizado</w:t>
            </w:r>
          </w:p>
        </w:tc>
        <w:tc>
          <w:tcPr>
            <w:tcW w:type="dxa" w:w="1728"/>
          </w:tcPr>
          <w:p>
            <w:r>
              <w:t>Ninguna</w:t>
            </w:r>
          </w:p>
        </w:tc>
      </w:tr>
      <w:tr>
        <w:tc>
          <w:tcPr>
            <w:tcW w:type="dxa" w:w="1728"/>
          </w:tcPr>
          <w:p>
            <w:r>
              <w:t>PF-12</w:t>
            </w:r>
          </w:p>
        </w:tc>
        <w:tc>
          <w:tcPr>
            <w:tcW w:type="dxa" w:w="1728"/>
          </w:tcPr>
          <w:p>
            <w:r>
              <w:t>Revisión por encargado Bomberos</w:t>
            </w:r>
          </w:p>
        </w:tc>
        <w:tc>
          <w:tcPr>
            <w:tcW w:type="dxa" w:w="1728"/>
          </w:tcPr>
          <w:p>
            <w:r>
              <w:t>Aceptación/observaciones institucionales</w:t>
            </w:r>
          </w:p>
        </w:tc>
        <w:tc>
          <w:tcPr>
            <w:tcW w:type="dxa" w:w="1728"/>
          </w:tcPr>
          <w:p>
            <w:r>
              <w:t>No realizada o no documentada</w:t>
            </w:r>
          </w:p>
        </w:tc>
        <w:tc>
          <w:tcPr>
            <w:tcW w:type="dxa" w:w="1728"/>
          </w:tcPr>
          <w:p>
            <w:r>
              <w:t>Ninguna</w:t>
            </w:r>
          </w:p>
        </w:tc>
      </w:tr>
    </w:tbl>
    <w:p>
      <w:pPr>
        <w:pStyle w:val="Heading1"/>
      </w:pPr>
      <w:r>
        <w:t>Consideraciones</w:t>
      </w:r>
    </w:p>
    <w:p>
      <w:r>
        <w:t>Los valores de $100.000, $21.000 y $50.000 corresponden a registros de prueba y no se pueden atribuir a costos o pérdidas reales de Bomberos. La captura de inventario muestra 230 registros y 503 unidades luego de incorporar un artículo de prueba; el lote importado original era de 229 registros.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