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Seguimiento de planificación y cambios</w:t>
      </w:r>
    </w:p>
    <w:p>
      <w:pPr>
        <w:pStyle w:val="Subtitle"/>
      </w:pPr>
      <w:r>
        <w:t>Separación entre planificación inicial y ejecución comprobable</w:t>
      </w:r>
    </w:p>
    <w:p>
      <w:r>
        <w:t>Proyecto APT | Sistema de Gestión de Inventario y Mantenimiento para Bomberos de San Bernardo</w:t>
      </w:r>
    </w:p>
    <w:p>
      <w:r>
        <w:t>Autor: Benjamín Andrés Sandoval Robles | Octubre de 2026</w:t>
      </w:r>
    </w:p>
    <w:p>
      <w:r>
        <w:t>Alcance documental: desarrollo individual, pruebas locales y evidencia disponible; no constituye aprobación institucional.</w:t>
      </w:r>
    </w:p>
    <w:p/>
    <w:p>
      <w:pPr>
        <w:pStyle w:val="Heading1"/>
      </w:pPr>
      <w:r>
        <w:t>Regla de integridad documental</w:t>
      </w:r>
    </w:p>
    <w:p>
      <w:r>
        <w:t>La Fase 1 presenta el plan original elaborado antes del desarrollo. Este documento registra ajustes posteriores sin asignar fechas inventadas ni declarar cumplimiento del cronograma sin evidencia. En la Fase 1 se mencionó Scrum inicialmente y después se decidió trabajar con Crystal Clear. Las fechas de reuniones no han sido confirmadas.</w:t>
      </w:r>
    </w:p>
    <w:p>
      <w:pPr>
        <w:pStyle w:val="Heading1"/>
      </w:pPr>
      <w:r>
        <w:t>Fases institucionales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Fase</w:t>
            </w:r>
          </w:p>
        </w:tc>
        <w:tc>
          <w:tcPr>
            <w:tcW w:type="dxa" w:w="2880"/>
          </w:tcPr>
          <w:p>
            <w:r>
              <w:t>Semanas académicas</w:t>
            </w:r>
          </w:p>
        </w:tc>
        <w:tc>
          <w:tcPr>
            <w:tcW w:type="dxa" w:w="2880"/>
          </w:tcPr>
          <w:p>
            <w:r>
              <w:t>Propósito</w:t>
            </w:r>
          </w:p>
        </w:tc>
      </w:tr>
      <w:tr>
        <w:tc>
          <w:tcPr>
            <w:tcW w:type="dxa" w:w="2880"/>
          </w:tcPr>
          <w:p>
            <w:r>
              <w:t>Definición</w:t>
            </w:r>
          </w:p>
        </w:tc>
        <w:tc>
          <w:tcPr>
            <w:tcW w:type="dxa" w:w="2880"/>
          </w:tcPr>
          <w:p>
            <w:r>
              <w:t>1 a 4</w:t>
            </w:r>
          </w:p>
        </w:tc>
        <w:tc>
          <w:tcPr>
            <w:tcW w:type="dxa" w:w="2880"/>
          </w:tcPr>
          <w:p>
            <w:r>
              <w:t>Requerimientos, objetivos y planificación</w:t>
            </w:r>
          </w:p>
        </w:tc>
      </w:tr>
      <w:tr>
        <w:tc>
          <w:tcPr>
            <w:tcW w:type="dxa" w:w="2880"/>
          </w:tcPr>
          <w:p>
            <w:r>
              <w:t>Desarrollo</w:t>
            </w:r>
          </w:p>
        </w:tc>
        <w:tc>
          <w:tcPr>
            <w:tcW w:type="dxa" w:w="2880"/>
          </w:tcPr>
          <w:p>
            <w:r>
              <w:t>5 a 15</w:t>
            </w:r>
          </w:p>
        </w:tc>
        <w:tc>
          <w:tcPr>
            <w:tcW w:type="dxa" w:w="2880"/>
          </w:tcPr>
          <w:p>
            <w:r>
              <w:t>Aplicación, pruebas, documentación e informe final</w:t>
            </w:r>
          </w:p>
        </w:tc>
      </w:tr>
      <w:tr>
        <w:tc>
          <w:tcPr>
            <w:tcW w:type="dxa" w:w="2880"/>
          </w:tcPr>
          <w:p>
            <w:r>
              <w:t>Presentación</w:t>
            </w:r>
          </w:p>
        </w:tc>
        <w:tc>
          <w:tcPr>
            <w:tcW w:type="dxa" w:w="2880"/>
          </w:tcPr>
          <w:p>
            <w:r>
              <w:t>16 a 18</w:t>
            </w:r>
          </w:p>
        </w:tc>
        <w:tc>
          <w:tcPr>
            <w:tcW w:type="dxa" w:w="2880"/>
          </w:tcPr>
          <w:p>
            <w:r>
              <w:t>Exposición a la comisión y reflexión</w:t>
            </w:r>
          </w:p>
        </w:tc>
      </w:tr>
    </w:tbl>
    <w:p>
      <w:pPr>
        <w:pStyle w:val="Heading1"/>
      </w:pPr>
      <w:r>
        <w:t>Resultados observados sin atribuir semanas</w:t>
      </w:r>
    </w:p>
    <w:p>
      <w:r>
        <w:t>La aplicación ofrece inventario, alertas, mantenimiento, gastos, checklist, usuarios, separación de compañías, valorización y pérdidas. Existen capturas de prueba entregadas por el estudiante el 15 de octubre de 2026. Esas capturas acreditan el estado funcional mostrado, pero no prueban en qué semana se desarrolló cada módulo.</w:t>
      </w:r>
    </w:p>
    <w:p>
      <w:pPr>
        <w:pStyle w:val="Heading1"/>
      </w:pPr>
      <w:r>
        <w:t>Cambios relevantes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Cambio</w:t>
            </w:r>
          </w:p>
        </w:tc>
        <w:tc>
          <w:tcPr>
            <w:tcW w:type="dxa" w:w="2880"/>
          </w:tcPr>
          <w:p>
            <w:r>
              <w:t>Justificación</w:t>
            </w:r>
          </w:p>
        </w:tc>
        <w:tc>
          <w:tcPr>
            <w:tcW w:type="dxa" w:w="2880"/>
          </w:tcPr>
          <w:p>
            <w:r>
              <w:t>Fecha</w:t>
            </w:r>
          </w:p>
        </w:tc>
      </w:tr>
      <w:tr>
        <w:tc>
          <w:tcPr>
            <w:tcW w:type="dxa" w:w="2880"/>
          </w:tcPr>
          <w:p>
            <w:r>
              <w:t>Scrum → Crystal Clear</w:t>
            </w:r>
          </w:p>
        </w:tc>
        <w:tc>
          <w:tcPr>
            <w:tcW w:type="dxa" w:w="2880"/>
          </w:tcPr>
          <w:p>
            <w:r>
              <w:t>Adaptación de proceso ágil a desarrollo individual</w:t>
            </w:r>
          </w:p>
        </w:tc>
        <w:tc>
          <w:tcPr>
            <w:tcW w:type="dxa" w:w="2880"/>
          </w:tcPr>
          <w:p>
            <w:r>
              <w:t>No confirmada</w:t>
            </w:r>
          </w:p>
        </w:tc>
      </w:tr>
      <w:tr>
        <w:tc>
          <w:tcPr>
            <w:tcW w:type="dxa" w:w="2880"/>
          </w:tcPr>
          <w:p>
            <w:r>
              <w:t>Módulos de login y roles</w:t>
            </w:r>
          </w:p>
        </w:tc>
        <w:tc>
          <w:tcPr>
            <w:tcW w:type="dxa" w:w="2880"/>
          </w:tcPr>
          <w:p>
            <w:r>
              <w:t>Control de acceso y trazabilidad de perfiles</w:t>
            </w:r>
          </w:p>
        </w:tc>
        <w:tc>
          <w:tcPr>
            <w:tcW w:type="dxa" w:w="2880"/>
          </w:tcPr>
          <w:p>
            <w:r>
              <w:t>No confirmada</w:t>
            </w:r>
          </w:p>
        </w:tc>
      </w:tr>
      <w:tr>
        <w:tc>
          <w:tcPr>
            <w:tcW w:type="dxa" w:w="2880"/>
          </w:tcPr>
          <w:p>
            <w:r>
              <w:t>Estructura multicompañía</w:t>
            </w:r>
          </w:p>
        </w:tc>
        <w:tc>
          <w:tcPr>
            <w:tcW w:type="dxa" w:w="2880"/>
          </w:tcPr>
          <w:p>
            <w:r>
              <w:t>Diseño escalable solicitado inicialmente</w:t>
            </w:r>
          </w:p>
        </w:tc>
        <w:tc>
          <w:tcPr>
            <w:tcW w:type="dxa" w:w="2880"/>
          </w:tcPr>
          <w:p>
            <w:r>
              <w:t>No confirmada</w:t>
            </w:r>
          </w:p>
        </w:tc>
      </w:tr>
      <w:tr>
        <w:tc>
          <w:tcPr>
            <w:tcW w:type="dxa" w:w="2880"/>
          </w:tcPr>
          <w:p>
            <w:r>
              <w:t>Valorización y pérdidas</w:t>
            </w:r>
          </w:p>
        </w:tc>
        <w:tc>
          <w:tcPr>
            <w:tcW w:type="dxa" w:w="2880"/>
          </w:tcPr>
          <w:p>
            <w:r>
              <w:t>Respuestas a requisitos del levantamiento</w:t>
            </w:r>
          </w:p>
        </w:tc>
        <w:tc>
          <w:tcPr>
            <w:tcW w:type="dxa" w:w="2880"/>
          </w:tcPr>
          <w:p>
            <w:r>
              <w:t>No confirmada</w:t>
            </w:r>
          </w:p>
        </w:tc>
      </w:tr>
    </w:tbl>
    <w:p>
      <w:pPr>
        <w:pStyle w:val="Heading1"/>
      </w:pPr>
      <w:r>
        <w:t>Cómo completar el seguimiento real</w:t>
      </w:r>
    </w:p>
    <w:p>
      <w:r>
        <w:t>Completar la planilla de seguimiento adjunta con semanas efectivas cuando existan pruebas: historial Git, archivos fechados, correos o anotaciones verificables. No transformar automáticamente una fecha de creación de archivo en fecha de actividad. Dejar «No confirmado» si no existe respaldo.</w:t>
      </w:r>
    </w:p>
    <w:sectPr w:rsidR="00FC693F" w:rsidRPr="0006063C" w:rsidSect="00034616">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2A3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2A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82A3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