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Self-Study: Program Introduction</w:t>
      </w:r>
    </w:p>
    <w:p>
      <w:pPr>
        <w:pStyle w:val="Heading2"/>
      </w:pPr>
      <w:r>
        <w:t>Introduction</w:t>
      </w:r>
    </w:p>
    <w:p>
      <w:r>
        <w:t>This self-study presents the Bachelor of Science in Human Services program at Stevenson University. The program prepares students for entry-level positions in human services through coursework, field-based learning, and a capstone experience that integrates theory and practice. The program has been continuously enrolling students since 1985 and graduates a cohort of approximately 80 students per academic year, with a five-year graduation rate of 92 percent across the most recent three cohorts.</w:t>
      </w:r>
    </w:p>
    <w:p>
      <w:pPr>
        <w:pStyle w:val="Heading2"/>
      </w:pPr>
      <w:r>
        <w:t>Mission</w:t>
      </w:r>
    </w:p>
    <w:p>
      <w:r>
        <w:t>The mission of the Human Services program is to prepare ethically grounded, culturally responsive practitioners who serve individuals, families, and communities across the lifespan. We accomplish this mission through rigorous academic preparation, supervised field experiences, and a curriculum that emphasizes evidence-based practice, advocacy, and self-reflective learning. The mission aligns with the university strategic plan to advance applied learning and community engagement.</w:t>
      </w:r>
    </w:p>
    <w:p>
      <w:pPr>
        <w:pStyle w:val="Heading2"/>
      </w:pPr>
      <w:r>
        <w:t>About the Program</w:t>
      </w:r>
    </w:p>
    <w:p>
      <w:r>
        <w:t>The Human Services program is housed within the School of Humanities and Social Sciences. The curriculum is 120 credit hours total, including 45 credits in major coursework, 39 credits in general education, and 36 credits of electives. Required courses cover human services foundations, group dynamics, counseling skills, social policy, and ethics. Two field-based experiences — a practicum at the end of the junior year and a full-time internship in the senior year — anchor the curriculum to applied practice.</w:t>
      </w:r>
    </w:p>
    <w:p>
      <w:pPr>
        <w:pStyle w:val="Heading2"/>
      </w:pPr>
      <w:r>
        <w:t>Vision</w:t>
      </w:r>
    </w:p>
    <w:p>
      <w:r>
        <w:t>The program envisions graduates who advance the human services profession through informed practice, leadership in agencies and communities, and continued learning. Alumni serve as case managers, counselors, advocates, and program directors in agencies that span mental health, child welfare, gerontology, addictions, and disability services. The program supports alumni development through annual continuing-education events, an active alumni listserv, and a graduate-school placement advisor.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