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Council for Standards in Human Service 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Glossary of Terms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AACC</w:t>
            </w:r>
          </w:p>
        </w:tc>
        <w:tc>
          <w:tcPr>
            <w:tcW w:type="dxa" w:w="4320"/>
          </w:tcPr>
          <w:p>
            <w:r>
              <w:t>Anne Arundel Community College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</w:t>
            </w:r>
          </w:p>
        </w:tc>
        <w:tc>
          <w:tcPr>
            <w:tcW w:type="dxa" w:w="4320"/>
          </w:tcPr>
          <w:p>
            <w:r>
              <w:t>Specify the degree.</w:t>
            </w:r>
          </w:p>
          <w:p>
            <w:r>
              <w:t>Response:</w:t>
            </w:r>
          </w:p>
          <w:p>
            <w:r>
              <w:t>Associate of Applied Sciences in Human Services.</w:t>
            </w:r>
          </w:p>
        </w:tc>
      </w:tr>
      <w:tr>
        <w:tc>
          <w:tcPr>
            <w:tcW w:type="dxa" w:w="4320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Describe any major program changes since the prior accreditation.</w:t>
            </w:r>
          </w:p>
          <w:p>
            <w:r>
              <w:t>Response:</w:t>
            </w:r>
          </w:p>
          <w:p>
            <w:r>
              <w:t>In AY 2021 the college hired a consulting firm to review programs.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Standard 4: The program shall conduct evaluations.</w:t>
            </w:r>
          </w:p>
        </w:tc>
        <w:tc>
          <w:tcPr>
            <w:tcW w:type="dxa" w:w="4320"/>
          </w:tcPr>
          <w:p>
            <w:r>
              <w:t>Standard 4: The program shall conduct evaluations.</w:t>
            </w:r>
          </w:p>
        </w:tc>
      </w:tr>
      <w:tr>
        <w:tc>
          <w:tcPr>
            <w:tcW w:type="dxa" w:w="4320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Measurable student learning outcomes.</w:t>
            </w:r>
          </w:p>
          <w:p>
            <w:r>
              <w:t>Response:</w:t>
            </w:r>
          </w:p>
          <w:p>
            <w:r>
              <w:t>The program has clear, measurable student learning outcomes and an implemented assessment plan.</w:t>
            </w:r>
          </w:p>
        </w:tc>
      </w:tr>
      <w:tr>
        <w:tc>
          <w:tcPr>
            <w:tcW w:type="dxa" w:w="4320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Formal program evaluation.</w:t>
            </w:r>
          </w:p>
          <w:p>
            <w:r>
              <w:t>Response</w:t>
            </w:r>
          </w:p>
          <w:p>
            <w:r>
              <w:t>A five-year formal evaluation cycle is in place with surveys and advisory input.</w:t>
            </w:r>
          </w:p>
        </w:tc>
      </w:tr>
      <w:tr>
        <w:tc>
          <w:tcPr>
            <w:tcW w:type="dxa" w:w="4320"/>
          </w:tcPr>
          <w:p>
            <w:r>
              <w:t>c.</w:t>
            </w:r>
          </w:p>
        </w:tc>
        <w:tc>
          <w:tcPr>
            <w:tcW w:type="dxa" w:w="4320"/>
          </w:tcPr>
          <w:p>
            <w:r>
              <w:t>Report performance to the public.</w:t>
            </w:r>
          </w:p>
          <w:p/>
          <w:p>
            <w:r>
              <w:t>The program publishes student achievement data on its public website.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a.</w:t>
            </w:r>
          </w:p>
        </w:tc>
        <w:tc>
          <w:tcPr>
            <w:tcW w:type="dxa" w:w="4320"/>
          </w:tcPr>
          <w:p>
            <w:r>
              <w:t>Admission policies.</w:t>
            </w:r>
          </w:p>
          <w:p>
            <w:r>
              <w:t>Response:</w:t>
            </w:r>
          </w:p>
          <w:p>
            <w:r>
              <w:t>AACC is open-access; admissions follow college policy.</w:t>
            </w:r>
          </w:p>
        </w:tc>
      </w:tr>
      <w:tr>
        <w:tc>
          <w:tcPr>
            <w:tcW w:type="dxa" w:w="4320"/>
          </w:tcPr>
          <w:p>
            <w:r>
              <w:t>b.</w:t>
            </w:r>
          </w:p>
        </w:tc>
        <w:tc>
          <w:tcPr>
            <w:tcW w:type="dxa" w:w="4320"/>
          </w:tcPr>
          <w:p>
            <w:r>
              <w:t>Referral policies.</w:t>
            </w:r>
          </w:p>
          <w:p>
            <w:r>
              <w:t>Response:</w:t>
            </w:r>
          </w:p>
          <w:p>
            <w:r>
              <w:t>Faculty use the Student Referral System for personal and academic support.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 6: Faculty competencies.</w:t>
            </w:r>
          </w:p>
        </w:tc>
        <w:tc>
          <w:tcPr>
            <w:tcW w:type="dxa" w:w="2880"/>
          </w:tcPr>
          <w:p>
            <w:r>
              <w:t>Standard 6: Faculty competencies.</w:t>
            </w:r>
          </w:p>
        </w:tc>
        <w:tc>
          <w:tcPr>
            <w:tcW w:type="dxa" w:w="2880"/>
          </w:tcPr>
          <w:p>
            <w:r>
              <w:t>Standard 6: Faculty competencies.</w:t>
            </w:r>
          </w:p>
        </w:tc>
      </w:tr>
      <w:tr>
        <w:tc>
          <w:tcPr>
            <w:tcW w:type="dxa" w:w="2880"/>
          </w:tcPr>
          <w:p>
            <w:r>
              <w:t>a.</w:t>
            </w:r>
          </w:p>
        </w:tc>
        <w:tc>
          <w:tcPr>
            <w:tcW w:type="dxa" w:w="2880"/>
          </w:tcPr>
          <w:p>
            <w:r>
              <w:t>a.</w:t>
            </w:r>
          </w:p>
        </w:tc>
        <w:tc>
          <w:tcPr>
            <w:tcW w:type="dxa" w:w="2880"/>
          </w:tcPr>
          <w:p>
            <w:r>
              <w:t>Faculty credentials.</w:t>
            </w:r>
          </w:p>
          <w:p>
            <w:r>
              <w:t>Response:</w:t>
            </w:r>
          </w:p>
          <w:p>
            <w:r>
              <w:t>All full-time faculty hold at least a master's degree in a related field.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