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after="0" w:before="0" w:lineRule="auto"/>
        <w:ind w:firstLine="720"/>
        <w:contextualSpacing w:val="0"/>
        <w:jc w:val="both"/>
        <w:rPr>
          <w:sz w:val="28"/>
          <w:szCs w:val="28"/>
        </w:rPr>
      </w:pPr>
      <w:bookmarkStart w:colFirst="0" w:colLast="0" w:name="_rld0cyyk32j8" w:id="0"/>
      <w:bookmarkEnd w:id="0"/>
      <w:r w:rsidDel="00000000" w:rsidR="00000000" w:rsidRPr="00000000">
        <w:rPr>
          <w:sz w:val="28"/>
          <w:szCs w:val="28"/>
          <w:rtl w:val="0"/>
        </w:rPr>
        <w:t xml:space="preserve">Data service layer (DSL) fornece uma camada de abstração para acesso a dados que é independente do esquema físico.</w:t>
      </w:r>
    </w:p>
    <w:p w:rsidR="00000000" w:rsidDel="00000000" w:rsidP="00000000" w:rsidRDefault="00000000" w:rsidRPr="00000000">
      <w:pPr>
        <w:pBdr/>
        <w:ind w:firstLine="720"/>
        <w:contextualSpacing w:val="0"/>
        <w:jc w:val="both"/>
        <w:rPr>
          <w:sz w:val="28"/>
          <w:szCs w:val="28"/>
        </w:rPr>
      </w:pPr>
      <w:r w:rsidDel="00000000" w:rsidR="00000000" w:rsidRPr="00000000">
        <w:rPr>
          <w:sz w:val="28"/>
          <w:szCs w:val="28"/>
          <w:rtl w:val="0"/>
        </w:rPr>
        <w:t xml:space="preserve">A finalidade da camada de serviço de dados é fornecer uma interface consistente para acessar dados, independente da estrutura de mapeamento objeto-relacional (como EJB, DAS ou JPA). Por sua vez, o quadro de mapeamento abstraído é usado para transformar os dados recuperados do banco de dados em uma coleção de objetos Java. Esses objetos são implementados como objetos de dados de serviço físico (SDOs).</w:t>
      </w:r>
    </w:p>
    <w:p w:rsidR="00000000" w:rsidDel="00000000" w:rsidP="00000000" w:rsidRDefault="00000000" w:rsidRPr="00000000">
      <w:pPr>
        <w:pBdr/>
        <w:ind w:firstLine="720"/>
        <w:contextualSpacing w:val="0"/>
        <w:jc w:val="both"/>
        <w:rPr>
          <w:sz w:val="28"/>
          <w:szCs w:val="28"/>
        </w:rPr>
      </w:pPr>
      <w:r w:rsidDel="00000000" w:rsidR="00000000" w:rsidRPr="00000000">
        <w:rPr>
          <w:sz w:val="28"/>
          <w:szCs w:val="28"/>
          <w:rtl w:val="0"/>
        </w:rPr>
        <w:t xml:space="preserve">A camada de serviço de dados realiza transformações bidirecionais entre SDOs físicos e SDOs lógicos. Ele permite executar operações CRUD nos SDOs lógicos. Alternativamente, a camada de serviço de dados também permite fazer operações CRUD diretamente nos dados físicos, ignorando completamente o esquema lógico.</w:t>
      </w:r>
    </w:p>
    <w:p w:rsidR="00000000" w:rsidDel="00000000" w:rsidP="00000000" w:rsidRDefault="00000000" w:rsidRPr="00000000">
      <w:pPr>
        <w:pBdr/>
        <w:ind w:firstLine="720"/>
        <w:contextualSpacing w:val="0"/>
        <w:jc w:val="both"/>
        <w:rPr>
          <w:sz w:val="28"/>
          <w:szCs w:val="28"/>
        </w:rPr>
      </w:pPr>
      <w:r w:rsidDel="00000000" w:rsidR="00000000" w:rsidRPr="00000000">
        <w:rPr>
          <w:sz w:val="28"/>
          <w:szCs w:val="28"/>
          <w:rtl w:val="0"/>
        </w:rPr>
        <w:t xml:space="preserve">Data service layer também permite que os modelos contenham variáveis ​​de contexto de negócios, que são substituídas quando as instruções SQL são geradas. Assim, as consultas enviadas pelo cliente podem resultar em diferentes consultas SQL reais, dependendo dos valores de propriedade do contexto de negócios. As instruções são armazenadas em um arquivo de modelo de consulta separado, que isola a lógica de tempo de execução do código de consulta SQL.</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Referência</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https://www.ibm.com/support/knowledgecenter/en/SSZLC2_7.0.0/com.ibm.commerce.developer.soa.doc/concepts/csddsl.htm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