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Times New Roman" w:cs="Times New Roman" w:eastAsia="Times New Roman" w:hAnsi="Times New Roman"/>
          <w:b/>
          <w:bCs/>
          <w:i w:val="false"/>
          <w:iCs w:val="false"/>
          <w:sz w:val="24"/>
          <w:szCs w:val="24"/>
        </w:rPr>
        <w:t xml:space="preserve">CÔNG TY TNHH DƯỢC KHOA XANH</w:t>
      </w:r>
    </w:p>
    <w:p>
      <w:pPr>
        <w:spacing w:after="280" w:line="300"/>
        <w:jc w:val="center"/>
      </w:pPr>
      <w:r>
        <w:rPr>
          <w:rFonts w:ascii="Times New Roman" w:cs="Times New Roman" w:eastAsia="Times New Roman" w:hAnsi="Times New Roman"/>
          <w:b w:val="false"/>
          <w:bCs w:val="false"/>
          <w:i w:val="false"/>
          <w:iCs w:val="false"/>
          <w:sz w:val="22"/>
          <w:szCs w:val="22"/>
        </w:rPr>
        <w:t xml:space="preserve">BỘ PHẬN KINH DOANH</w:t>
      </w:r>
    </w:p>
    <w:p>
      <w:pPr>
        <w:spacing w:after="60" w:line="320"/>
        <w:jc w:val="center"/>
      </w:pPr>
      <w:r>
        <w:rPr>
          <w:rFonts w:ascii="Times New Roman" w:cs="Times New Roman" w:eastAsia="Times New Roman" w:hAnsi="Times New Roman"/>
          <w:b/>
          <w:bCs/>
          <w:i w:val="false"/>
          <w:iCs w:val="false"/>
          <w:sz w:val="32"/>
          <w:szCs w:val="32"/>
        </w:rPr>
        <w:t xml:space="preserve">BÁO CÁO CÔNG VIỆC TUẦN</w:t>
      </w:r>
    </w:p>
    <w:p>
      <w:pPr>
        <w:spacing w:after="300" w:line="300"/>
        <w:jc w:val="center"/>
      </w:pPr>
      <w:r>
        <w:rPr>
          <w:rFonts w:ascii="Times New Roman" w:cs="Times New Roman" w:eastAsia="Times New Roman" w:hAnsi="Times New Roman"/>
          <w:b w:val="false"/>
          <w:bCs w:val="false"/>
          <w:i/>
          <w:iCs/>
          <w:sz w:val="24"/>
          <w:szCs w:val="24"/>
        </w:rPr>
        <w:t xml:space="preserve">(Từ ngày 14/09/2026 đến ngày 20/09/2026)</w:t>
      </w:r>
    </w:p>
    <w:tbl>
      <w:tblPr>
        <w:tblW w:type="dxa" w:w="14570"/>
        <w:tblBorders>
          <w:top w:val="none" w:color="FFFFFF" w:sz="0"/>
          <w:left w:val="none" w:color="FFFFFF" w:sz="0"/>
          <w:bottom w:val="none" w:color="FFFFFF" w:sz="0"/>
          <w:right w:val="none" w:color="FFFFFF" w:sz="0"/>
          <w:insideH w:val="none" w:color="FFFFFF" w:sz="0"/>
          <w:insideV w:val="none" w:color="FFFFFF" w:sz="0"/>
        </w:tblBorders>
      </w:tblPr>
      <w:tblGrid>
        <w:gridCol w:w="2200"/>
        <w:gridCol w:w="12370"/>
      </w:tblGrid>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Kính gửi:</w:t>
            </w:r>
          </w:p>
        </w:tc>
        <w:tc>
          <w:tcPr>
            <w:tcW w:type="dxa" w:w="1237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[Điền: Ban Giám đốc / Phó Giám đốc kinh doanh]</w:t>
            </w:r>
          </w:p>
        </w:tc>
      </w:tr>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Họ và tên:</w:t>
            </w:r>
          </w:p>
        </w:tc>
        <w:tc>
          <w:tcPr>
            <w:tcW w:type="dxa" w:w="1237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Vũ Trần Thuý Nhi</w:t>
            </w:r>
          </w:p>
        </w:tc>
      </w:tr>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Bộ phận – Chức vụ:</w:t>
            </w:r>
          </w:p>
        </w:tc>
        <w:tc>
          <w:tcPr>
            <w:tcW w:type="dxa" w:w="1237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Kinh doanh – Nhân viên Hỗ trợ Kinh doanh (Sales Admin)</w:t>
            </w:r>
          </w:p>
        </w:tc>
      </w:tr>
      <w:tr>
        <w:tc>
          <w:tcPr>
            <w:tcW w:type="dxa" w:w="2200"/>
            <w:tcBorders>
              <w:top w:val="none" w:color="FFFFFF" w:sz="0"/>
              <w:left w:val="none" w:color="FFFFFF" w:sz="0"/>
              <w:bottom w:val="none" w:color="FFFFFF" w:sz="0"/>
              <w:right w:val="none" w:color="FFFFFF" w:sz="0"/>
            </w:tcBorders>
            <w:tcMar>
              <w:top w:type="dxa" w:w="20"/>
              <w:left w:type="dxa" w:w="0"/>
              <w:bottom w:type="dxa" w:w="20"/>
              <w:right w:type="dxa" w:w="80"/>
            </w:tcMar>
          </w:tcPr>
          <w:p>
            <w:pPr>
              <w:spacing w:after="0" w:line="300"/>
            </w:pPr>
            <w:r>
              <w:rPr>
                <w:rFonts w:ascii="Times New Roman" w:cs="Times New Roman" w:eastAsia="Times New Roman" w:hAnsi="Times New Roman"/>
                <w:b/>
                <w:bCs/>
                <w:i w:val="false"/>
                <w:iCs w:val="false"/>
                <w:sz w:val="24"/>
                <w:szCs w:val="24"/>
              </w:rPr>
              <w:t xml:space="preserve">Kỳ báo cáo:</w:t>
            </w:r>
          </w:p>
        </w:tc>
        <w:tc>
          <w:tcPr>
            <w:tcW w:type="dxa" w:w="1237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300"/>
            </w:pPr>
            <w:r>
              <w:rPr>
                <w:rFonts w:ascii="Times New Roman" w:cs="Times New Roman" w:eastAsia="Times New Roman" w:hAnsi="Times New Roman"/>
                <w:b w:val="false"/>
                <w:bCs w:val="false"/>
                <w:i w:val="false"/>
                <w:iCs w:val="false"/>
                <w:sz w:val="24"/>
                <w:szCs w:val="24"/>
              </w:rPr>
              <w:t xml:space="preserve">Tuần 38, từ ngày 14/09/2026 đến ngày 20/09/2026</w:t>
            </w:r>
          </w:p>
        </w:tc>
      </w:tr>
    </w:tbl>
    <w:p>
      <w:pPr>
        <w:spacing w:after="140" w:before="260" w:line="300"/>
      </w:pPr>
      <w:r>
        <w:rPr>
          <w:rFonts w:ascii="Times New Roman" w:cs="Times New Roman" w:eastAsia="Times New Roman" w:hAnsi="Times New Roman"/>
          <w:b/>
          <w:bCs/>
          <w:i w:val="false"/>
          <w:iCs w:val="false"/>
          <w:sz w:val="24"/>
          <w:szCs w:val="24"/>
        </w:rPr>
        <w:t xml:space="preserve">Nội dung công việc trong tuần:</w:t>
      </w:r>
    </w:p>
    <w:tbl>
      <w:tblPr>
        <w:tblW w:type="dxa" w:w="14570"/>
        <w:tblBorders>
          <w:top w:val="single" w:color="808080" w:sz="4"/>
          <w:left w:val="single" w:color="808080" w:sz="4"/>
          <w:bottom w:val="single" w:color="808080" w:sz="4"/>
          <w:right w:val="single" w:color="808080" w:sz="4"/>
          <w:insideH w:val="single" w:color="808080" w:sz="4"/>
          <w:insideV w:val="single" w:color="808080" w:sz="4"/>
        </w:tblBorders>
      </w:tblPr>
      <w:tblGrid>
        <w:gridCol w:w="560"/>
        <w:gridCol w:w="2300"/>
        <w:gridCol w:w="1400"/>
        <w:gridCol w:w="4900"/>
        <w:gridCol w:w="2600"/>
        <w:gridCol w:w="2810"/>
      </w:tblGrid>
      <w:tr>
        <w:trPr>
          <w:tblHeader/>
        </w:trPr>
        <w:tc>
          <w:tcPr>
            <w:tcW w:type="dxa" w:w="56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STT</w:t>
            </w:r>
          </w:p>
        </w:tc>
        <w:tc>
          <w:tcPr>
            <w:tcW w:type="dxa" w:w="23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Tên công việc</w:t>
            </w:r>
          </w:p>
        </w:tc>
        <w:tc>
          <w:tcPr>
            <w:tcW w:type="dxa" w:w="14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Thời gian làm việc</w:t>
            </w:r>
          </w:p>
        </w:tc>
        <w:tc>
          <w:tcPr>
            <w:tcW w:type="dxa" w:w="49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Kết quả làm được</w:t>
            </w:r>
          </w:p>
        </w:tc>
        <w:tc>
          <w:tcPr>
            <w:tcW w:type="dxa" w:w="260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Chưa làm được</w:t>
            </w:r>
          </w:p>
        </w:tc>
        <w:tc>
          <w:tcPr>
            <w:tcW w:type="dxa" w:w="2810"/>
            <w:shd w:fill="D9E2F3" w:color="auto" w:val="clear"/>
            <w:tcMar>
              <w:top w:type="dxa" w:w="80"/>
              <w:left w:type="dxa" w:w="110"/>
              <w:bottom w:type="dxa" w:w="80"/>
              <w:right w:type="dxa" w:w="110"/>
            </w:tcMar>
            <w:vAlign w:val="center"/>
          </w:tcPr>
          <w:p>
            <w:pPr>
              <w:spacing w:after="0" w:line="280"/>
              <w:jc w:val="center"/>
            </w:pPr>
            <w:r>
              <w:rPr>
                <w:rFonts w:ascii="Times New Roman" w:cs="Times New Roman" w:eastAsia="Times New Roman" w:hAnsi="Times New Roman"/>
                <w:b/>
                <w:bCs/>
                <w:i w:val="false"/>
                <w:iCs w:val="false"/>
                <w:sz w:val="24"/>
                <w:szCs w:val="24"/>
              </w:rPr>
              <w:t xml:space="preserve">Hướng giải quyết</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1</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Phân tích danh mục công việc bàn giao</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T2, 14/09</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Hoàn thành phân tích 07 nhóm công việc trong file bàn giao; lập danh sách câu hỏi làm rõ cho từng nhóm để trao đổi với các đầu mối liên quan.</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Một số câu hỏi làm rõ chưa được giải đáp.</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Xin lịch trao đổi với NVKD và kế toán để chốt các điểm còn thiếu.</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2</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Chuẩn hoá danh mục sản phẩm</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T3, 15/09</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Phân loại toàn bộ sản phẩm theo 3 cách: theo đối tượng (dành cho bé / dành cho mẹ), theo nhãn hàng (06 nhãn), theo mục đích sử dụng (Mỹ phẩm / TPBVSK / TTBYT) căn cứ hồ sơ công bố SCB–SĐK. Phát hiện và sửa 01 lỗi dữ liệu: hạn SCB Gel vệ sinh phụ nữ Oriky ghi năm 2025, số đúng là 21/4/2030.</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Một số thành phần của Yaocare mama chưa có trong hồ sơ công bố hiện có.</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Đề nghị NVKD / HCNS cung cấp bản công bố đầy đủ để bổ sung.</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3</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So sánh thị trường với đối thủ</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T3, 15/09</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Lập bảng so sánh 08 sản phẩm nhóm “dành cho bé” và 08 sản phẩm nhóm “dành cho mẹ” với đối thủ cùng phân khúc theo 4 tiêu chí: thành phần, công dụng công bố, giá bán, độ phổ biến. Đã chuẩn hoá theo đúng format được duyệt.</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Không có hạng mục tồn.</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Ghi nhận 02 điểm cần xin ý kiến, nêu tại phần Kiến nghị – đề xuất.</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4</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Xây bộ sell-out kit cho điểm bán</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T4–T5, 16–17/09</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Hoàn thành bộ sell-out kit cho 09 nhóm sản phẩm trong bảng báo giá OTC, mỗi sản phẩm đủ khung 6 phần: POSM, tư liệu bán hàng cho người đứng quầy, script tư vấn, chương trình kích cầu, nội dung truyền thông để shop đăng lại, chứng từ tạo niềm tin. Giá và chương trình lấy theo bảng báo giá kênh OTC áp dụng từ 01/04/2025.</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Phần “chương trình kích cầu cho người tiêu dùng tại quầy” chưa có cơ sở chính thức để đưa vào kit.</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Xin cấp trên xác nhận cơ chế khuyến mãi áp dụng tại quầy (cột “mua X tặng Y” hiện là chiết khấu sell-in cho shop / NPP, không phải khuyến mãi bán lẻ).</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5</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Bộ công cụ cho nhân viên bán hàng tại shop</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T4–T5, 16–17/09</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Soạn 03 tài liệu dùng trực tiếp tại quầy: script xử lý từ chối mua hàng của người tiêu dùng theo từng sản phẩm; bài đào tạo sản phẩm nói miệng 5–10 phút kèm bản gạch đầu dòng xem nhanh; 08 bài giới thiệu sản phẩm dựng theo cấu trúc mẫu file Xịt muỗi Elemis.</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Chưa tổ chức đào tạo thực tế cho nhân viên shop.</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Đề xuất chạy thử tại 01–02 shop để hiệu chỉnh nội dung trước khi triển khai rộng.</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6</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Phân tích công dụng sản phẩm</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T5, 17/09</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Hoàn thành tài liệu phân tích cho 13 sản phẩm trong bảng giá OTC: mỗi công dụng chính nêu rõ hoạt chất, dược liệu chứa hoạt chất đó và cơ chế tác động. Thống nhất quy tắc ngôn từ tư vấn: nhóm mỹ phẩm chỉ dùng “hỗ trợ / giúp / ngừa”, không dùng “trị / chữa”; riêng Curmilk là TPBVSK bắt buộc kèm khuyến cáo “không phải là thuốc”. Đã xuất bản Word.</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Chưa có số liệu thử nghiệm riêng của công ty để dẫn chứng; nội dung hiện dựa trên kiến thức dược liệu phổ thông.</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Nếu công ty đã có số liệu thử nghiệm, xin cung cấp để bổ sung vào tài liệu.</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7</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Lên đơn hàng hỗ trợ NVKD trên phần mềm AMIS</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 số đơn đã lên trong tuần / số đơn hỗ trợ NVKD]</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8</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Xác nhận hoá đơn, theo dõi thanh toán</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 số hoá đơn nháp đã gửi, số hoá đơn đã ký số và gửi đối tác, tình hình thanh toán đã cập nhật cho kế toán]</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9</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Theo dõi tình trạng đơn hàng, xử lý phát sinh</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 số đơn đã theo dõi / cập nhật thời gian giao; các ca đổi trả, hàng sai đã xử lý]</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10</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Tổng hợp doanh số, báo cáo KPI tuần</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 doanh số tuần đã tổng hợp, mức độ đạt KPI cá nhân / bộ phận, ngày đã gửi PGĐ]</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r>
      <w:tr>
        <w:tc>
          <w:tcPr>
            <w:tcW w:type="dxa" w:w="56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11</w:t>
            </w:r>
          </w:p>
        </w:tc>
        <w:tc>
          <w:tcPr>
            <w:tcW w:type="dxa" w:w="23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Chăm sóc shop, gửi chương trình theo địa bàn</w:t>
            </w:r>
          </w:p>
        </w:tc>
        <w:tc>
          <w:tcPr>
            <w:tcW w:type="dxa" w:w="1400"/>
            <w:tcMar>
              <w:top w:type="dxa" w:w="80"/>
              <w:left w:type="dxa" w:w="110"/>
              <w:bottom w:type="dxa" w:w="80"/>
              <w:right w:type="dxa" w:w="110"/>
            </w:tcMar>
            <w:vAlign w:val="top"/>
          </w:tcPr>
          <w:p>
            <w:pPr>
              <w:spacing w:after="0" w:line="280"/>
              <w:jc w:val="center"/>
            </w:pPr>
            <w:r>
              <w:rPr>
                <w:rFonts w:ascii="Times New Roman" w:cs="Times New Roman" w:eastAsia="Times New Roman" w:hAnsi="Times New Roman"/>
                <w:b w:val="false"/>
                <w:bCs w:val="false"/>
                <w:i w:val="false"/>
                <w:iCs w:val="false"/>
                <w:sz w:val="24"/>
                <w:szCs w:val="24"/>
              </w:rPr>
              <w:t xml:space="preserve">[Điền]</w:t>
            </w:r>
          </w:p>
        </w:tc>
        <w:tc>
          <w:tcPr>
            <w:tcW w:type="dxa" w:w="49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 số shop đã gửi bài viết / chương trình; thắc mắc của người tiêu dùng đã xử lý]</w:t>
            </w:r>
          </w:p>
        </w:tc>
        <w:tc>
          <w:tcPr>
            <w:tcW w:type="dxa" w:w="260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c>
          <w:tcPr>
            <w:tcW w:type="dxa" w:w="2810"/>
            <w:tcMar>
              <w:top w:type="dxa" w:w="80"/>
              <w:left w:type="dxa" w:w="110"/>
              <w:bottom w:type="dxa" w:w="80"/>
              <w:right w:type="dxa" w:w="110"/>
            </w:tcMar>
            <w:vAlign w:val="top"/>
          </w:tcPr>
          <w:p>
            <w:pPr>
              <w:spacing w:after="0" w:line="280"/>
              <w:jc w:val="left"/>
            </w:pPr>
            <w:r>
              <w:rPr>
                <w:rFonts w:ascii="Times New Roman" w:cs="Times New Roman" w:eastAsia="Times New Roman" w:hAnsi="Times New Roman"/>
                <w:b w:val="false"/>
                <w:bCs w:val="false"/>
                <w:i w:val="false"/>
                <w:iCs w:val="false"/>
                <w:sz w:val="24"/>
                <w:szCs w:val="24"/>
              </w:rPr>
              <w:t xml:space="preserve">[Điền]</w:t>
            </w:r>
          </w:p>
        </w:tc>
      </w:tr>
    </w:tbl>
    <w:p>
      <w:pPr>
        <w:spacing w:after="140" w:before="300" w:line="300"/>
      </w:pPr>
      <w:r>
        <w:rPr>
          <w:rFonts w:ascii="Times New Roman" w:cs="Times New Roman" w:eastAsia="Times New Roman" w:hAnsi="Times New Roman"/>
          <w:b/>
          <w:bCs/>
          <w:i w:val="false"/>
          <w:iCs w:val="false"/>
          <w:sz w:val="24"/>
          <w:szCs w:val="24"/>
        </w:rPr>
        <w:t xml:space="preserve">Kiến nghị – đề xuất:</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1. Gạc rơ lưỡi Elemis có thành phần acid boric – xin cấp trên cho hướng thống nhất về cách tư vấn và nội dung lưu ý an toàn khi hướng dẫn shop, để nhân viên quầy trả lời nhất quán khi khách thắc mắc.</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2. Nội dung marketing của Yaocare Women chưa khớp với bảng công bố thành phần (phần SLES / hương liệu) – đề xuất rà soát lại nội dung truyền thông hoặc bổ sung thông tin công bố cho khớp.</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3. Theo dữ liệu hiện có, công ty chỉ xác thực / liên hệ trực tiếp được khoảng 50% số shop (phần lớn danh sách kế thừa từ NPP) – xin ý kiến sếp về phương án phân phối bộ sell-out kit tới shop.</w:t>
      </w:r>
    </w:p>
    <w:p>
      <w:pPr>
        <w:spacing w:after="100" w:before="0" w:line="300"/>
        <w:jc w:val="left"/>
      </w:pPr>
      <w:r>
        <w:rPr>
          <w:rFonts w:ascii="Times New Roman" w:cs="Times New Roman" w:eastAsia="Times New Roman" w:hAnsi="Times New Roman"/>
          <w:b w:val="false"/>
          <w:bCs w:val="false"/>
          <w:i w:val="false"/>
          <w:iCs w:val="false"/>
          <w:sz w:val="24"/>
          <w:szCs w:val="24"/>
        </w:rPr>
        <w:t xml:space="preserve">4. [Điền thêm kiến nghị khác nếu có]</w:t>
      </w:r>
    </w:p>
    <w:p>
      <w:pPr>
        <w:spacing w:after="200" w:before="400" w:line="300"/>
        <w:jc w:val="right"/>
      </w:pPr>
      <w:r>
        <w:rPr>
          <w:rFonts w:ascii="Times New Roman" w:cs="Times New Roman" w:eastAsia="Times New Roman" w:hAnsi="Times New Roman"/>
          <w:b w:val="false"/>
          <w:bCs w:val="false"/>
          <w:i/>
          <w:iCs/>
          <w:sz w:val="24"/>
          <w:szCs w:val="24"/>
        </w:rPr>
        <w:t xml:space="preserve">Hà Nội, ngày ...... tháng ...... năm 2026</w:t>
      </w:r>
    </w:p>
    <w:tbl>
      <w:tblPr>
        <w:tblW w:type="dxa" w:w="14570"/>
        <w:tblBorders>
          <w:top w:val="none" w:color="FFFFFF" w:sz="0"/>
          <w:left w:val="none" w:color="FFFFFF" w:sz="0"/>
          <w:bottom w:val="none" w:color="FFFFFF" w:sz="0"/>
          <w:right w:val="none" w:color="FFFFFF" w:sz="0"/>
          <w:insideH w:val="none" w:color="FFFFFF" w:sz="0"/>
          <w:insideV w:val="none" w:color="FFFFFF" w:sz="0"/>
        </w:tblBorders>
      </w:tblPr>
      <w:tblGrid>
        <w:gridCol w:w="7285"/>
        <w:gridCol w:w="7285"/>
      </w:tblGrid>
      <w:tr>
        <w:tc>
          <w:tcPr>
            <w:tcW w:type="dxa" w:w="7285"/>
            <w:tcBorders>
              <w:top w:val="none" w:color="FFFFFF" w:sz="0"/>
              <w:left w:val="none" w:color="FFFFFF" w:sz="0"/>
              <w:bottom w:val="none" w:color="FFFFFF" w:sz="0"/>
              <w:right w:val="none" w:color="FFFFFF" w:sz="0"/>
            </w:tcBorders>
          </w:tcPr>
          <w:p>
            <w:pPr>
              <w:spacing w:after="0" w:line="300"/>
              <w:jc w:val="center"/>
            </w:pPr>
            <w:r>
              <w:rPr>
                <w:rFonts w:ascii="Times New Roman" w:cs="Times New Roman" w:eastAsia="Times New Roman" w:hAnsi="Times New Roman"/>
                <w:b/>
                <w:bCs/>
                <w:i w:val="false"/>
                <w:iCs w:val="false"/>
                <w:sz w:val="24"/>
                <w:szCs w:val="24"/>
              </w:rPr>
              <w:t xml:space="preserve">Ý KIẾN CỦA CẤP TRÊN</w:t>
            </w:r>
          </w:p>
        </w:tc>
        <w:tc>
          <w:tcPr>
            <w:tcW w:type="dxa" w:w="7285"/>
            <w:tcBorders>
              <w:top w:val="none" w:color="FFFFFF" w:sz="0"/>
              <w:left w:val="none" w:color="FFFFFF" w:sz="0"/>
              <w:bottom w:val="none" w:color="FFFFFF" w:sz="0"/>
              <w:right w:val="none" w:color="FFFFFF" w:sz="0"/>
            </w:tcBorders>
          </w:tcPr>
          <w:p>
            <w:pPr>
              <w:spacing w:after="0" w:line="300"/>
              <w:jc w:val="center"/>
            </w:pPr>
            <w:r>
              <w:rPr>
                <w:rFonts w:ascii="Times New Roman" w:cs="Times New Roman" w:eastAsia="Times New Roman" w:hAnsi="Times New Roman"/>
                <w:b/>
                <w:bCs/>
                <w:i w:val="false"/>
                <w:iCs w:val="false"/>
                <w:sz w:val="24"/>
                <w:szCs w:val="24"/>
              </w:rPr>
              <w:t xml:space="preserve">NGƯỜI BÁO CÁO</w:t>
            </w:r>
          </w:p>
          <w:p>
            <w:pPr>
              <w:spacing w:after="0" w:line="300"/>
              <w:jc w:val="center"/>
            </w:pPr>
            <w:r>
              <w:rPr>
                <w:rFonts w:ascii="Times New Roman" w:cs="Times New Roman" w:eastAsia="Times New Roman" w:hAnsi="Times New Roman"/>
                <w:b w:val="false"/>
                <w:bCs w:val="false"/>
                <w:i/>
                <w:iCs/>
                <w:sz w:val="22"/>
                <w:szCs w:val="22"/>
              </w:rPr>
              <w:t xml:space="preserve">(Ký, ghi rõ họ tên)</w:t>
            </w:r>
          </w:p>
          <w:p>
            <w:pPr>
              <w:spacing w:after="0" w:line="300"/>
            </w:pPr>
            <w:r>
              <w:rPr>
                <w:rFonts w:ascii="Times New Roman" w:cs="Times New Roman" w:eastAsia="Times New Roman" w:hAnsi="Times New Roman"/>
                <w:b w:val="false"/>
                <w:bCs w:val="false"/>
                <w:i w:val="false"/>
                <w:iCs w:val="false"/>
                <w:sz w:val="24"/>
                <w:szCs w:val="24"/>
              </w:rPr>
              <w:t xml:space="preserve"/>
            </w:r>
          </w:p>
          <w:p>
            <w:pPr>
              <w:spacing w:after="0" w:line="300"/>
            </w:pPr>
            <w:r>
              <w:rPr>
                <w:rFonts w:ascii="Times New Roman" w:cs="Times New Roman" w:eastAsia="Times New Roman" w:hAnsi="Times New Roman"/>
                <w:b w:val="false"/>
                <w:bCs w:val="false"/>
                <w:i w:val="false"/>
                <w:iCs w:val="false"/>
                <w:sz w:val="24"/>
                <w:szCs w:val="24"/>
              </w:rPr>
              <w:t xml:space="preserve"/>
            </w:r>
          </w:p>
          <w:p>
            <w:pPr>
              <w:spacing w:after="0" w:line="300"/>
              <w:jc w:val="center"/>
            </w:pPr>
            <w:r>
              <w:rPr>
                <w:rFonts w:ascii="Times New Roman" w:cs="Times New Roman" w:eastAsia="Times New Roman" w:hAnsi="Times New Roman"/>
                <w:b w:val="false"/>
                <w:bCs w:val="false"/>
                <w:i w:val="false"/>
                <w:iCs w:val="false"/>
                <w:sz w:val="24"/>
                <w:szCs w:val="24"/>
              </w:rPr>
              <w:t xml:space="preserve">Vũ Trần Thuý Nhi</w:t>
            </w:r>
          </w:p>
        </w:tc>
      </w:tr>
    </w:tbl>
    <w:sectPr>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2026-09-21T02:36:03.607Z</dcterms:created>
  <dcterms:modified xsi:type="dcterms:W3CDTF">2026-09-21T02:36:03.608Z</dcterms:modified>
</cp:coreProperties>
</file>

<file path=docProps/custom.xml><?xml version="1.0" encoding="utf-8"?>
<Properties xmlns="http://schemas.openxmlformats.org/officeDocument/2006/custom-properties" xmlns:vt="http://schemas.openxmlformats.org/officeDocument/2006/docPropsVTypes"/>
</file>