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300"/>
        <w:jc w:val="center"/>
      </w:pPr>
      <w:r>
        <w:rPr>
          <w:b/>
          <w:bCs/>
          <w:color w:val="1F4E5F"/>
          <w:sz w:val="40"/>
          <w:szCs w:val="40"/>
        </w:rPr>
        <w:t xml:space="preserve">ТЕХНИЧЕСКОЕ ЗАДАНИЕ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на внедрение интеллектуальной системы (ИИ-диспетчера) планирования и контроля планово-предупредительных работ (ППР) на электропитающих установках (ЭПУ) оборудования связи</w:t>
      </w:r>
    </w:p>
    <w:p>
      <w:pPr>
        <w:spacing w:after="1600"/>
        <w:jc w:val="center"/>
      </w:pPr>
      <w:r>
        <w:rPr>
          <w:i/>
          <w:iCs/>
          <w:color w:val="595959"/>
          <w:sz w:val="24"/>
          <w:szCs w:val="24"/>
        </w:rPr>
        <w:t xml:space="preserve">АО «Казахтелеком»</w:t>
      </w:r>
    </w:p>
    <w:p>
      <w:pPr>
        <w:jc w:val="center"/>
      </w:pPr>
      <w:r>
        <w:rPr>
          <w:color w:val="595959"/>
          <w:sz w:val="20"/>
          <w:szCs w:val="20"/>
        </w:rPr>
        <w:t xml:space="preserve">Версия 1.0 — черновик для согласования</w:t>
      </w:r>
    </w:p>
    <w:p>
      <w:pPr>
        <w:jc w:val="center"/>
      </w:pPr>
      <w:r>
        <w:rPr>
          <w:color w:val="595959"/>
          <w:sz w:val="20"/>
          <w:szCs w:val="20"/>
        </w:rPr>
        <w:t xml:space="preserve">Дата подготовки: сентябрь 2026 г.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Общие положения</w:t>
      </w:r>
    </w:p>
    <w:p>
      <w:pPr>
        <w:pStyle w:val="Heading2"/>
        <w:spacing w:after="120" w:before="280"/>
      </w:pPr>
      <w:r>
        <w:t xml:space="preserve">1.1. Назначение документа</w:t>
      </w:r>
    </w:p>
    <w:p>
      <w:pPr>
        <w:spacing w:after="160"/>
        <w:jc w:val="both"/>
      </w:pPr>
      <w:r>
        <w:t xml:space="preserve">Настоящее техническое задание (далее — ТЗ) определяет цели, функциональные и нефункциональные требования, а также порядок внедрения интеллектуальной системы поддержки принятия решений — «ИИ-диспетчера» — для планирования планово-предупредительных работ (ППР) и контроля дефектов на электропитающих установках (ЭПУ) оборудования связи АО «Казахтелеком».</w:t>
      </w:r>
    </w:p>
    <w:p>
      <w:pPr>
        <w:pStyle w:val="Heading2"/>
        <w:spacing w:after="120" w:before="280"/>
      </w:pPr>
      <w:r>
        <w:t xml:space="preserve">1.2. Цели внедрения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Перевод планирования ТО ЭПУ с ручного/табличного учёта на автоматизированное формирование графиков на основе нормативной периодичности и фактического состояния оборудования.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Сокращение количества внеплановых отказов ЭПУ за счёт раннего выявления и приоритизации дефектов.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Единая точка контроля исполнения ППР и устранения дефектов по всем объектам связи и региональным филиалам.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Снижение нагрузки на диспетчерский персонал за счёт автоматизации рутинных операций (формирование нарядов, напоминания, эскалации).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Формирование основы для перехода к предиктивному обслуживанию (Predictive Maintenance) на базе данных телеметрии ЭПУ.</w:t>
      </w:r>
    </w:p>
    <w:p>
      <w:pPr>
        <w:pStyle w:val="Heading2"/>
        <w:spacing w:after="120" w:before="280"/>
      </w:pPr>
      <w:r>
        <w:t xml:space="preserve">1.3. Область применения</w:t>
      </w:r>
    </w:p>
    <w:p>
      <w:pPr>
        <w:spacing w:after="160"/>
        <w:jc w:val="both"/>
      </w:pPr>
      <w:r>
        <w:t xml:space="preserve">Система применяется для объектов связи АО «Казахтелеком» всех уровней (магистральные узлы, районные узлы связи, объекты доступа), оснащённых электропитающими установками: дизель-генераторными установками (ДГУ), источниками бесперебойного питания (ИБП), выпрямительными устройствами и щитами постоянного тока (ЩПТ), аккумуляторными батареями (АКБ), системами гарантированного и бесперебойного электроснабжения, а также сопутствующими системами кондиционирования и мониторинга.</w:t>
      </w:r>
    </w:p>
    <w:p>
      <w:pPr>
        <w:pStyle w:val="Heading1"/>
        <w:spacing w:after="200" w:before="400"/>
      </w:pPr>
      <w:r>
        <w:t xml:space="preserve">2. Термины, определения и сокращения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ЭПУ — электропитающая установка.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ППР — планово-предупредительные работы (система технического обслуживания и ремонта по регламенту).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ТО-1…ТО-4 — виды технического обслуживания по возрастанию объёма и периодичности.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АКБ — аккумуляторная батарея; ДГУ — дизель-генераторная установка; ИБП — источник бесперебойного питания; АВР — автоматический ввод резерва.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СМИС — система мониторинга инженерных систем (телеметрия ЭПУ в реальном времени).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— согласованный уровень времени реакции и устранения дефекта.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MTTR — среднее время восстановления (Mean Time To Repair).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EAM/CMMS — система управления основными фондами / техническим обслуживанием (Enterprise Asset Management).</w:t>
      </w:r>
    </w:p>
    <w:p>
      <w:pPr>
        <w:pStyle w:val="Heading1"/>
        <w:spacing w:after="200" w:before="400"/>
      </w:pPr>
      <w:r>
        <w:t xml:space="preserve">3. Объекты автоматизации</w:t>
      </w:r>
    </w:p>
    <w:p>
      <w:pPr>
        <w:spacing w:after="160"/>
        <w:jc w:val="both"/>
      </w:pPr>
      <w:r>
        <w:t xml:space="preserve">В зону ответственности ИИ-диспетчера входит следующий перечень типового оборудования ЭПУ, для которого система должна вести реестр, график ТО и журнал дефектов: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Аккумуляторные батареи (АКБ) различных типов (свинцово-кислотные, гелевые, литий-ионные).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Дизель-генераторные установки (ДГУ) стационарные и передвижные.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Источники бесперебойного питания (ИБП).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Выпрямительные устройства (ВУ) и щиты постоянного тока (ЩПТ).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Автоматика ввода резерва (АВР), щиты собственных нужд.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Системы кондиционирования и вентиляции технологических помещений.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Системы мониторинга и телеметрии ЭПУ (СМИС) — как источник входных данных.</w:t>
      </w:r>
    </w:p>
    <w:p>
      <w:pPr>
        <w:pStyle w:val="Heading1"/>
        <w:spacing w:after="200" w:before="400"/>
      </w:pPr>
      <w:r>
        <w:t xml:space="preserve">4. Функциональные требования к ИИ-диспетчеру</w:t>
      </w:r>
    </w:p>
    <w:p>
      <w:pPr>
        <w:pStyle w:val="Heading2"/>
        <w:spacing w:after="120" w:before="280"/>
      </w:pPr>
      <w:r>
        <w:t xml:space="preserve">4.1. Планирование ППР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Автоматическое формирование годового и оперативного (месяц/неделя) графика ТО на основе нормативной периодичности по каждому типу оборудования (см. таблицу в разделе 4.1.1).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Учёт фактических данных: даты ввода в эксплуатацию, наработки, результатов предыдущих ТО, гарантийных сроков.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Автоматическое перепланирование при накладках (недоступность бригады, объекта, отсутствие ЗИП) с оповещением ответственного диспетчера.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Формирование наряд-заданий с привязкой к конкретной бригаде/технику, объекту и маршруту (с учётом географии объектов).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Учёт ограничений: квалификация техника, допуски, требуемые инструменты и ЗИП.</w:t>
      </w:r>
    </w:p>
    <w:p>
      <w:pPr>
        <w:pStyle w:val="Heading2"/>
        <w:spacing w:after="120" w:before="280"/>
      </w:pPr>
      <w:r>
        <w:t xml:space="preserve">4.1.1. Нормативная периодичность (пример базового набора)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4640"/>
      </w:tblGrid>
      <w:tr>
        <w:trPr>
          <w:tblHeader/>
        </w:trPr>
        <w:tc>
          <w:tcPr>
            <w:tcW w:type="dxa" w:w="2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 оборудования ЭПУ</w:t>
            </w:r>
          </w:p>
        </w:tc>
        <w:tc>
          <w:tcPr>
            <w:tcW w:type="dxa" w:w="1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Вид ТО</w:t>
            </w:r>
          </w:p>
        </w:tc>
        <w:tc>
          <w:tcPr>
            <w:tcW w:type="dxa" w:w="1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Периодичность</w:t>
            </w:r>
          </w:p>
        </w:tc>
        <w:tc>
          <w:tcPr>
            <w:tcW w:type="dxa" w:w="464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Основной состав работ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Аккумуляторные батареи (АКБ)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месяц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Визуальный осмотр, контроль напряжения на элементах, контроль температуры, проверка герметичности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Аккумуляторные батареи (АКБ)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квартал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Измерение внутреннего сопротивления, контрольный разряд по графику, подтяжка контактов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Дизель-генераторные установки (ДГУ)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месяц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Контрольный пуск под нагрузкой, проверка уровня топлива/масла/ОЖ, осмотр АВР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Дизель-генераторные установки (ДГУ)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квартал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Замена фильтров по регламенту завода-изготовителя, диагностика двигателя, проверка автоматики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Источники бесперебойного питания (ИБП)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месяц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параметров сети и нагрузки, проверка сигнализации аварий, тест переключения на батарею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Выпрямительные устройства / ЩПТ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квартал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Проверка токораспределения, контроль изоляции, тепловизионный контроль контактных соединений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Системы кондиционирования и вентиляции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квартал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Чистка теплообменников, проверка хладагента, контроль датчиков температуры/влажности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ЭПУ в целом (комплексная проверка)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ТО-3 / ТО-4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раз в полугодие / год</w:t>
            </w:r>
          </w:p>
        </w:tc>
        <w:tc>
          <w:tcPr>
            <w:tcW w:type="dxa" w:w="4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Комплексная диагностика, тепловизионное обследование, годовой отчёт по техническому состоянию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4.2. Контроль и диспетчеризация дефектов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Приём сигналов о дефектах из трёх источников: автоматически из СМИС (по порогам телеметрии), от техника через мобильное приложение, от диспетчера/оператора вручную.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Автоматическая классификация дефекта по критичности с учётом типа оборудования, влияния на резервирование питания объекта и текущего статуса объекта (аварийный/плановый).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Расчёт и контроль сроков реакции и устранения (SLA) с автоматической эскалацией при риске нарушения.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Назначение ответственного исполнителя/бригады с учётом загрузки, местоположения и квалификации.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Ведение полного жизненного цикла дефекта: регистрация → диагностика → устранение → проверка → закрытие, с фотофиксацией и комментариями на каждом шаге.</w:t>
      </w:r>
    </w:p>
    <w:p>
      <w:pPr>
        <w:pStyle w:val="Heading2"/>
        <w:spacing w:after="120" w:before="280"/>
      </w:pPr>
      <w:r>
        <w:t xml:space="preserve">4.2.1. Классификация дефектов по критичности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3240"/>
      </w:tblGrid>
      <w:tr>
        <w:trPr>
          <w:tblHeader/>
        </w:trPr>
        <w:tc>
          <w:tcPr>
            <w:tcW w:type="dxa" w:w="18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32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Пример дефекта</w:t>
            </w:r>
          </w:p>
        </w:tc>
        <w:tc>
          <w:tcPr>
            <w:tcW w:type="dxa" w:w="22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Реакция (SLA)</w:t>
            </w:r>
          </w:p>
        </w:tc>
        <w:tc>
          <w:tcPr>
            <w:tcW w:type="dxa" w:w="324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Устранение (SLA)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Критический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Отказ ЭПУ, отсутствие резервного питания на объекте связи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15 минут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4 часов (аварийная бригада)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Неисправность ДГУ/АВР, деградация АКБ ниже допустимого порога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1 часа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24 часов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Отклонение параметров в пределах нормы, единичный отказ датчика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4 часов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3 суток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Косметические замечания, плановая замена расходников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1 суток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 рамках ближайшего ТО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4.3. Предиктивная аналитика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 трендов телеметрии (напряжение/ёмкость АКБ, температура, наработка ДГУ, число автозапусков) для прогноза остаточного ресурса и вероятности отказа.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Формирование рекомендаций по внеплановому ТО или замене узла до наступления отказа.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Приоритизация объектов для углублённой диагностики на основе риск-модели (комбинация критичности объекта связи и состояния ЭПУ).</w:t>
      </w:r>
    </w:p>
    <w:p>
      <w:pPr>
        <w:pStyle w:val="Heading2"/>
        <w:spacing w:after="120" w:before="280"/>
      </w:pPr>
      <w:r>
        <w:t xml:space="preserve">4.4. Отчётность и аналитика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руководителя: исполнение графика ППР, количество открытых дефектов по критичности и объектам, динамика MTTR.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Автоматическая генерация периодической отчётности (сутки/неделя/месяц) для передачи руководству и в контролирующие органы связи (при необходимости).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История обслуживания и дефектов по каждой единице оборудования — «паспорт оборудования» с полным треком событий.</w:t>
      </w:r>
    </w:p>
    <w:p>
      <w:pPr>
        <w:pStyle w:val="Heading2"/>
        <w:spacing w:after="120" w:before="280"/>
      </w:pPr>
      <w:r>
        <w:t xml:space="preserve">4.5. Интеграция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Система мониторинга инженерных систем (СМИС / DEHN / аналоги) — приём телеметрии в реальном времени.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Корпоративная EAM/1С — синхронизация реестра основных средств, складского учёта ЗИП, заявок на закупку.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Мобильное приложение техника — получение нарядов, офлайн-режим, фотофиксация, электронная подпись выполненных работ.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Каналы уведомлений — SMS, корпоративный мессенджер, e-mail — для оповещений и эскалаций.</w:t>
      </w:r>
    </w:p>
    <w:p>
      <w:pPr>
        <w:pStyle w:val="Heading1"/>
        <w:spacing w:after="200" w:before="400"/>
      </w:pPr>
      <w:r>
        <w:t xml:space="preserve">5. Логика работы системы</w:t>
      </w:r>
    </w:p>
    <w:p>
      <w:pPr>
        <w:spacing w:after="160"/>
        <w:jc w:val="both"/>
      </w:pPr>
      <w:r>
        <w:t xml:space="preserve">Укрупнённый алгоритм работы ИИ-диспетчера строится по циклу «данные → правила/модель → решение → контроль исполнения»: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Сбор данных: реестр оборудования, нормативы ТО, телеметрия СМИС, история дефектов, данные о доступности персонала и ЗИП.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Формирование планового графика ТО на основе нормативов и фактического состояния (движок правил + модель прогноза ресурса).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Мониторинг отклонений: контроль исполнения графика, контроль поступающих сигналов о дефектах в режиме, близком к реальному времени.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Приоритизация и диспетчеризация: автоматическое ранжирование задач по критичности и назначение исполнителей.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Исполнение и обратная связь: фиксация результата техником, автоматическое обновление статуса оборудования и графика.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Обучение модели: периодическая переоценка нормативов и риск-моделей на основе накопленной статистики отказов.</w:t>
      </w:r>
    </w:p>
    <w:p>
      <w:pPr>
        <w:spacing w:after="160"/>
        <w:jc w:val="both"/>
      </w:pPr>
      <w:r>
        <w:t xml:space="preserve">Диспетчер-человек сохраняет право ручной корректировки любого решения ИИ-диспетчера (принцип «человек в контуре» для критических объектов).</w:t>
      </w:r>
    </w:p>
    <w:p>
      <w:pPr>
        <w:pStyle w:val="Heading1"/>
        <w:spacing w:after="200" w:before="400"/>
      </w:pPr>
      <w:r>
        <w:t xml:space="preserve">6. Ролевая модель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040"/>
      </w:tblGrid>
      <w:tr>
        <w:trPr>
          <w:tblHeader/>
        </w:trPr>
        <w:tc>
          <w:tcPr>
            <w:tcW w:type="dxa" w:w="20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44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Функции в системе</w:t>
            </w:r>
          </w:p>
        </w:tc>
        <w:tc>
          <w:tcPr>
            <w:tcW w:type="dxa" w:w="404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Права доступа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Диспетчер ИИ-системы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формируемых планов ППР, подтверждение автоматических назначений, обработка эскалаций</w:t>
            </w:r>
          </w:p>
        </w:tc>
        <w:tc>
          <w:tcPr>
            <w:tcW w:type="dxa" w:w="4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Просмотр и редактирование графиков, назначение бригад, закрытие заявок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Инженер / техник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Выполнение работ по наряду, фиксация результатов ТО, регистрация обнаруженных дефектов</w:t>
            </w:r>
          </w:p>
        </w:tc>
        <w:tc>
          <w:tcPr>
            <w:tcW w:type="dxa" w:w="4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Мобильный интерфейс: приём заданий, отметка о выполнении, фотофиксация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Руководитель участка/группы ЭПУ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исполнения графика, анализ отчётов, утверждение внеплановых работ</w:t>
            </w:r>
          </w:p>
        </w:tc>
        <w:tc>
          <w:tcPr>
            <w:tcW w:type="dxa" w:w="4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Просмотр отчётов и KPI, согласование заявок на ресурсы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Администратор системы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Ведение справочников оборудования, настройка нормативов, интеграции</w:t>
            </w:r>
          </w:p>
        </w:tc>
        <w:tc>
          <w:tcPr>
            <w:tcW w:type="dxa" w:w="4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Полный доступ к настройкам системы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7. Требования к данным и архитектуре</w:t>
      </w:r>
    </w:p>
    <w:p>
      <w:pPr>
        <w:pStyle w:val="Heading2"/>
        <w:spacing w:after="120" w:before="280"/>
      </w:pPr>
      <w:r>
        <w:t xml:space="preserve">7.1. Основные сущности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Объект связи (площадка): идентификатор, адрес, категория объекта, филиал.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Единица оборудования ЭПУ: тип, модель, серийный номер, дата ввода в эксплуатацию, привязка к объекту.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Регламент ТО: тип работ, периодичность, перечень операций, нормативная трудоёмкость.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Наряд-задание: дата, исполнитель, статус, привязка к оборудованию и регламенту.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Дефект/заявка: источник, критичность, статус, SLA, история действий, вложения (фото/акты).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Телеметрия: временные ряды параметров ЭПУ по каждой единице оборудования.</w:t>
      </w:r>
    </w:p>
    <w:p>
      <w:pPr>
        <w:pStyle w:val="Heading2"/>
        <w:spacing w:after="120" w:before="280"/>
      </w:pPr>
      <w:r>
        <w:t xml:space="preserve">7.2. Архитектурные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Модульная архитектура: слой сбора данных (интеграции), слой правил и моделей (планирование, приоритизация, прогноз), слой интерфейсов (веб-дашборд диспетчера, мобильное приложение техника).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исторических данных не менее 5 лет для целей анализа надёжности оборудования.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Разграничение доступа по ролям и филиалам (см. раздел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Возможность работы диспетчерского интерфейса в веб-браузере без установки дополнительного ПО.</w:t>
      </w:r>
    </w:p>
    <w:p>
      <w:pPr>
        <w:pStyle w:val="Heading1"/>
        <w:spacing w:after="200" w:before="400"/>
      </w:pPr>
      <w:r>
        <w:t xml:space="preserve">8. Нефункциональные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Доступность сервиса — не менее 99,5% в рабочее время диспетчерских смен.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Время отклика интерфейса — не более 2 секунд на типовых операциях.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данных в соответствии с внутренними политиками информационной безопасности АО «Казахтелеком» и требованиями законодательства РК о персональных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Масштабируемость — поддержка увеличения количества объектов и единиц оборудования без снижения производительности.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Резервное копирование данных не реже 1 раза в сутки.</w:t>
      </w:r>
    </w:p>
    <w:p>
      <w:pPr>
        <w:pStyle w:val="Heading1"/>
        <w:spacing w:after="200" w:before="400"/>
      </w:pPr>
      <w:r>
        <w:t xml:space="preserve">9. Требования к пользовательскому интерфейсу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Дашборд диспетчера: сводные показатели, календарь ППР, список открытых дефектов с фильтрами по объекту/типу оборудования/критичности.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Карточка оборудования: паспорт, история ТО и дефектов, актуальный статус.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Мобильный интерфейс техника: список нарядов на день, маршрут, форма выполнения работ, регистрация дефекта с фото.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Интерфейс на русском и казахском языках.</w:t>
      </w:r>
    </w:p>
    <w:p>
      <w:pPr>
        <w:pStyle w:val="Heading1"/>
        <w:spacing w:after="200" w:before="400"/>
      </w:pPr>
      <w:r>
        <w:t xml:space="preserve">10. Этапы внедрения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00"/>
        <w:gridCol w:w="2100"/>
        <w:gridCol w:w="2040"/>
      </w:tblGrid>
      <w:tr>
        <w:trPr>
          <w:tblHeader/>
        </w:trPr>
        <w:tc>
          <w:tcPr>
            <w:tcW w:type="dxa" w:w="12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51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Содержание работ</w:t>
            </w:r>
          </w:p>
        </w:tc>
        <w:tc>
          <w:tcPr>
            <w:tcW w:type="dxa" w:w="21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04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Срок (ориент.)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Обследование объектов, инвентаризация ЭПУ, сбор нормативов ТО и исторических данных по дефектам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Реестр оборудования, база нормативов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4–6 недель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Разработка модели данных, правил планирования и алгоритмов приоритизации дефектов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Спроектированная логика ИИ-диспетчера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недели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Разработка/настройка прототипа (веб-интерфейс диспетчера, мобильное приложение техника)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Рабочий прототип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6–8 недель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Интеграция с системами мониторинга ЭПУ (СМИС), EAM/1С, системой уведомлений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Интегрированная система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недель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Опытная эксплуатация на пилотных объектах, обучение персонала, доработка по замечаниям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Отчёт об опытной эксплуатации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недель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Промышленное внедрение, тиражирование на все объекты, ввод в постоянную эксплуатацию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Акт ввода в эксплуатацию</w:t>
            </w:r>
          </w:p>
        </w:tc>
        <w:tc>
          <w:tcPr>
            <w:tcW w:type="dxa" w:w="2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графику</w:t>
            </w:r>
          </w:p>
        </w:tc>
      </w:tr>
    </w:tbl>
    <w:p>
      <w:pPr>
        <w:spacing w:after="160"/>
      </w:pPr>
    </w:p>
    <w:p>
      <w:pPr>
        <w:pStyle w:val="Heading1"/>
        <w:spacing w:after="200" w:before="400"/>
      </w:pPr>
      <w:r>
        <w:t xml:space="preserve">11. Критерии приёмки и целевые показатели</w:t>
      </w:r>
    </w:p>
    <w:p>
      <w:pPr>
        <w:spacing w:after="160"/>
        <w:jc w:val="both"/>
      </w:pPr>
      <w:r>
        <w:t xml:space="preserve">Эффективность внедрения ИИ-диспетчера оценивается по следующим ключевым показателям (значения уточняются по результатам обследования объектов на этапе 1):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2640"/>
      </w:tblGrid>
      <w:tr>
        <w:trPr>
          <w:tblHeader/>
        </w:trPr>
        <w:tc>
          <w:tcPr>
            <w:tcW w:type="dxa" w:w="52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Показатель эффективности</w:t>
            </w:r>
          </w:p>
        </w:tc>
        <w:tc>
          <w:tcPr>
            <w:tcW w:type="dxa" w:w="2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Текущее значение*</w:t>
            </w:r>
          </w:p>
        </w:tc>
        <w:tc>
          <w:tcPr>
            <w:tcW w:type="dxa" w:w="264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ППР, выполненных в срок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определяется на этапе обследования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98%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Среднее время реакции на критический дефект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определяется на этапе обследования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15 минут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внеплановых отказов ЭПУ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определяется на этапе обследования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снижение не менее чем на 30%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Среднее время устранения дефекта (MTTR)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определяется на этапе обследования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снижение не менее чем на 25%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дефектов, выявленных предиктивно (до отказа)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40%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t xml:space="preserve">* Итоговые целевые значения подлежат уточнению и согласованию с заказчиком по результатам пилотной эксплуатации.</w:t>
      </w:r>
    </w:p>
    <w:p>
      <w:pPr>
        <w:pStyle w:val="Heading1"/>
        <w:spacing w:after="200" w:before="400"/>
      </w:pPr>
      <w:r>
        <w:t xml:space="preserve">12. Приложения (заполняются на этапе обследования)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Приложение 1. Реестр объектов связи и установленного оборудования ЭПУ.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Приложение 2. Действующие регламенты и нормативы ТО по типам оборудования.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Приложение 3. Перечень интеграций и технических протоколов обмена данными.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Приложение 4. Матрица ответственности (RACI) по этапам внедрения.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2026-09-17T09:43:25.277Z</dcterms:created>
  <dcterms:modified xsi:type="dcterms:W3CDTF">2026-09-17T09:43:25.286Z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