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200" w:line="240" w:lineRule="auto"/>
        <w:jc w:val="left"/>
      </w:pPr>
      <w:r>
        <w:rPr>
          <w:rFonts w:ascii="HarmonyOS Sans SC" w:hAnsi="HarmonyOS Sans SC" w:eastAsia="HarmonyOS Sans SC"/>
          <w:b/>
          <w:color w:val="2F75B5"/>
          <w:sz w:val="24"/>
        </w:rPr>
        <w:t>ACO CHAT</w:t>
      </w:r>
    </w:p>
    <w:p>
      <w:pPr>
        <w:spacing w:before="200" w:after="200" w:line="240" w:lineRule="auto"/>
      </w:pPr>
      <w:r>
        <w:rPr>
          <w:rFonts w:ascii="HarmonyOS Sans SC" w:hAnsi="HarmonyOS Sans SC" w:eastAsia="HarmonyOS Sans SC"/>
          <w:b/>
          <w:color w:val="000000"/>
          <w:sz w:val="52"/>
        </w:rPr>
        <w:t>短剧平台开发方案与合作说明</w:t>
      </w:r>
    </w:p>
    <w:p>
      <w:pPr>
        <w:pStyle w:val="SubtitleCustom"/>
        <w:spacing w:before="0" w:after="480" w:line="288" w:lineRule="auto"/>
      </w:pPr>
      <w:r>
        <w:rPr>
          <w:rFonts w:ascii="HarmonyOS Sans SC" w:hAnsi="HarmonyOS Sans SC" w:eastAsia="HarmonyOS Sans SC"/>
          <w:b w:val="0"/>
          <w:color w:val="5F6368"/>
          <w:sz w:val="24"/>
        </w:rPr>
        <w:t>面向 ACO Chat 的短剧内容扩展与广告变现能力建设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HarmonyOS Sans SC" w:hAnsi="HarmonyOS Sans SC" w:eastAsia="HarmonyOS Sans SC"/>
                <w:b/>
                <w:color w:val="17365D"/>
                <w:sz w:val="19"/>
              </w:rPr>
              <w:t>项目版本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9"/>
              </w:rPr>
              <w:t>短剧平台交付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HarmonyOS Sans SC" w:hAnsi="HarmonyOS Sans SC" w:eastAsia="HarmonyOS Sans SC"/>
                <w:b/>
                <w:color w:val="17365D"/>
                <w:sz w:val="19"/>
              </w:rPr>
              <w:t>开发范围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9"/>
              </w:rPr>
              <w:t>Flutter 客户端 + API 服务 + 内容采集适配器 + 广告接入预留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HarmonyOS Sans SC" w:hAnsi="HarmonyOS Sans SC" w:eastAsia="HarmonyOS Sans SC"/>
                <w:b/>
                <w:color w:val="17365D"/>
                <w:sz w:val="19"/>
              </w:rPr>
              <w:t>交付周期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9"/>
              </w:rPr>
              <w:t>计划 30 个工作日，具体以素材、广告账户和接口资料到位时间为准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HarmonyOS Sans SC" w:hAnsi="HarmonyOS Sans SC" w:eastAsia="HarmonyOS Sans SC"/>
                <w:b/>
                <w:color w:val="17365D"/>
                <w:sz w:val="19"/>
              </w:rPr>
              <w:t>合作方式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9"/>
              </w:rPr>
              <w:t>合作范围以本方案为准，商务条款另行确定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2F8"/>
          </w:tcPr>
          <w:p>
            <w:pPr>
              <w:spacing w:before="0" w:after="0" w:line="252" w:lineRule="auto"/>
            </w:pPr>
            <w:r>
              <w:rPr>
                <w:rFonts w:ascii="HarmonyOS Sans SC" w:hAnsi="HarmonyOS Sans SC" w:eastAsia="HarmonyOS Sans SC"/>
                <w:b/>
                <w:color w:val="17365D"/>
                <w:sz w:val="19"/>
              </w:rPr>
              <w:t>适用目标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9"/>
              </w:rPr>
              <w:t>优先建立内容消费、广告展示、数据回传及运营管理闭环</w:t>
            </w:r>
          </w:p>
        </w:tc>
      </w:tr>
    </w:tbl>
    <w:p>
      <w:pPr>
        <w:spacing w:after="20"/>
      </w:pPr>
    </w:p>
    <w:p>
      <w:pPr>
        <w:spacing w:before="400" w:after="200" w:line="324" w:lineRule="auto"/>
      </w:pPr>
      <w:r>
        <w:rPr>
          <w:rFonts w:ascii="HarmonyOS Sans SC" w:hAnsi="HarmonyOS Sans SC" w:eastAsia="HarmonyOS Sans SC"/>
          <w:b w:val="0"/>
          <w:color w:val="202124"/>
          <w:sz w:val="21"/>
        </w:rPr>
        <w:t>本方案以短剧内容消费与广告变现闭环为建设目标，在复用现有钱包、社交和直播基础能力的前提下，优先完成可运营、可扩展的模块建设，并为后续基于实际数据开展产品优化提供依据。</w:t>
      </w:r>
    </w:p>
    <w:p>
      <w:pPr>
        <w:spacing w:before="0" w:after="0" w:line="324" w:lineRule="auto"/>
      </w:pPr>
      <w:r>
        <w:rPr>
          <w:rFonts w:ascii="HarmonyOS Sans SC" w:hAnsi="HarmonyOS Sans SC" w:eastAsia="HarmonyOS Sans SC"/>
          <w:b/>
          <w:color w:val="202124"/>
          <w:sz w:val="21"/>
        </w:rPr>
        <w:t>本方案覆盖短剧内容消费与广告变现的完整业务闭环，交付内容包括内容采集、分集播放、播放记录、广告位、广告事件埋点、运营接口及项目文档，不限于短剧列表页面的开发。</w:t>
      </w:r>
      <w:r>
        <w:rPr>
          <w:rFonts w:ascii="HarmonyOS Sans SC" w:hAnsi="HarmonyOS Sans SC" w:eastAsia="HarmonyOS Sans SC"/>
          <w:b w:val="0"/>
          <w:color w:val="202124"/>
          <w:sz w:val="21"/>
        </w:rPr>
      </w:r>
    </w:p>
    <w:p>
      <w:r>
        <w:br w:type="page"/>
      </w: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一 项目目标与建设原则</w:t>
      </w:r>
    </w:p>
    <w:p>
      <w:pPr>
        <w:spacing w:before="0" w:after="140" w:line="324" w:lineRule="auto"/>
      </w:pPr>
      <w:r>
        <w:rPr>
          <w:rFonts w:ascii="HarmonyOS Sans SC" w:hAnsi="HarmonyOS Sans SC" w:eastAsia="HarmonyOS Sans SC"/>
          <w:b w:val="0"/>
          <w:color w:val="202124"/>
          <w:sz w:val="21"/>
        </w:rPr>
        <w:t>建设目标是在 ACO Chat 内形成可独立运营的短剧内容入口。用户可完成短剧浏览、详情查看、集数选择、视频播放及续播；系统在不影响核心使用体验的前提下提供激励视频、插屏或原生广告展示能力。运营方可进行内容维护、排序调整及基础播放与广告数据查看。</w:t>
      </w:r>
    </w:p>
    <w:p>
      <w:pPr>
        <w:spacing w:before="100" w:after="60" w:line="288" w:lineRule="auto"/>
      </w:pPr>
      <w:r>
        <w:rPr>
          <w:rFonts w:ascii="HarmonyOS Sans SC" w:hAnsi="HarmonyOS Sans SC" w:eastAsia="HarmonyOS Sans SC"/>
          <w:b w:val="0"/>
          <w:color w:val="202124"/>
          <w:sz w:val="21"/>
        </w:rPr>
        <w:t>建设原则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基于现有 Flutter 工程、账号体系及视频播放能力进行复用，降低重复建设成本。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优先完成内容消费与广告变现闭环，并根据上线后的实际数据评估推荐、会员及付费解锁等功能的扩展。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采集服务采用来源白名单及可替换适配器，支持接入授权 API、甲方提供的数据源或依法可采集的公开内容。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广告联盟采用统一的广告位抽象层和事件层，以支持后续更换 AdMob、MAX、LevelPlay 或 Web3 广告方时保持业务页面稳定。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不对广告收益作出未经验证的承诺，收益核算以广告平台后台实际 eCPM、填充率及结算报告为准。</w:t>
      </w: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二 交付范围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5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6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360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甲方可见价值</w:t>
            </w:r>
          </w:p>
        </w:tc>
      </w:tr>
      <w:tr>
        <w:tc>
          <w:tcPr>
            <w:tcW w:type="dxa" w:w="165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短剧首页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推荐位、分类、短剧卡片、封面、集数、更新状态、搜索入口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形成稳定的内容运营入口，满足正式运营需求</w:t>
            </w:r>
          </w:p>
        </w:tc>
      </w:tr>
      <w:tr>
        <w:tc>
          <w:tcPr>
            <w:tcW w:type="dxa" w:w="165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短剧详情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简介、演员/标签、集数列表、收藏、历史记录、继续播放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支持用户快速进入内容并提升回访效率</w:t>
            </w:r>
          </w:p>
        </w:tc>
      </w:tr>
      <w:tr>
        <w:tc>
          <w:tcPr>
            <w:tcW w:type="dxa" w:w="165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分集播放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视频播放、切集、播放进度、播放失败重试、竖屏配置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将现有视频播放能力应用于连续短剧消费场景</w:t>
            </w:r>
          </w:p>
        </w:tc>
      </w:tr>
      <w:tr>
        <w:tc>
          <w:tcPr>
            <w:tcW w:type="dxa" w:w="165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内容接口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剧集、分集、封面、视频地址、排序、上下架、分类和标签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支持内容替换与扩展，避免将业务数据固化于客户端</w:t>
            </w:r>
          </w:p>
        </w:tc>
      </w:tr>
      <w:tr>
        <w:tc>
          <w:tcPr>
            <w:tcW w:type="dxa" w:w="165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采集适配器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白名单来源、字段映射、去重、封面处理、入库草稿、失败重试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降低人工录入成本，支持后续扩展更多内容来源</w:t>
            </w:r>
          </w:p>
        </w:tc>
      </w:tr>
      <w:tr>
        <w:tc>
          <w:tcPr>
            <w:tcW w:type="dxa" w:w="165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广告接入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主流联盟广告位抽象、激励/插屏/原生位、Web3 原生位预留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支持广告方切换，并形成广告收益数据沉淀</w:t>
            </w:r>
          </w:p>
        </w:tc>
      </w:tr>
      <w:tr>
        <w:tc>
          <w:tcPr>
            <w:tcW w:type="dxa" w:w="165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数据与交付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播放与广告事件、基础日志、接口说明、部署说明、验收清单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后续运营和扩展有数据和文档依据</w:t>
            </w:r>
          </w:p>
        </w:tc>
      </w:tr>
    </w:tbl>
    <w:p>
      <w:pPr>
        <w:spacing w:after="20"/>
      </w:pP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三 客户端功能设计</w:t>
      </w:r>
    </w:p>
    <w:p>
      <w:pPr>
        <w:pStyle w:val="Heading2"/>
        <w:spacing w:before="160" w:after="100" w:line="264" w:lineRule="auto"/>
      </w:pPr>
      <w:r>
        <w:rPr>
          <w:rFonts w:ascii="HarmonyOS Sans SC" w:hAnsi="HarmonyOS Sans SC" w:eastAsia="HarmonyOS Sans SC"/>
          <w:b/>
          <w:color w:val="000000"/>
          <w:sz w:val="24"/>
        </w:rPr>
        <w:t>3.1 入口与首页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在现有“探索”体系内新增短剧入口，原则上不调整底部主导航，以降低对既有功能的影响及回归测试风险。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首页设置顶部推荐、分类筛选、最近观看、热门短剧及短剧卡片等内容区域。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短剧卡片至少展示封面、标题、更新集数、内容标签及观看状态。</w:t>
      </w:r>
    </w:p>
    <w:p>
      <w:pPr>
        <w:pStyle w:val="Heading2"/>
        <w:spacing w:before="160" w:after="100" w:line="264" w:lineRule="auto"/>
      </w:pPr>
      <w:r>
        <w:rPr>
          <w:rFonts w:ascii="HarmonyOS Sans SC" w:hAnsi="HarmonyOS Sans SC" w:eastAsia="HarmonyOS Sans SC"/>
          <w:b/>
          <w:color w:val="000000"/>
          <w:sz w:val="24"/>
        </w:rPr>
        <w:t>3.2 详情与播放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详情页展示封面、标题、简介、标签、更新信息、收藏操作入口及分集列表。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播放页支持自动续播、上一集/下一集切换、集数选择、加载状态展示、错误重试及退出后恢复播放。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本次交付范围限定为竖屏场景，不包含横屏适配、复杂直播互动、弹幕及 DRM 定制。</w:t>
      </w:r>
    </w:p>
    <w:p>
      <w:pPr>
        <w:pStyle w:val="Heading2"/>
        <w:spacing w:before="160" w:after="100" w:line="264" w:lineRule="auto"/>
      </w:pPr>
      <w:r>
        <w:rPr>
          <w:rFonts w:ascii="HarmonyOS Sans SC" w:hAnsi="HarmonyOS Sans SC" w:eastAsia="HarmonyOS Sans SC"/>
          <w:b/>
          <w:color w:val="000000"/>
          <w:sz w:val="24"/>
        </w:rPr>
        <w:t>3.3 用户行为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系统记录最近播放剧集、播放进度、收藏状态及最后观看时间，形成可查询和续播的历史记录。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支持收藏及取消收藏操作；未登录用户的历史记录保存在本地，登录后按照账号进行同步，具体以现有账号接口能力为准。</w:t>
      </w:r>
    </w:p>
    <w:p>
      <w:r>
        <w:br w:type="page"/>
      </w: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四 服务端与运营能力</w:t>
      </w:r>
    </w:p>
    <w:p>
      <w:pPr>
        <w:spacing w:before="0" w:after="140" w:line="324" w:lineRule="auto"/>
      </w:pPr>
      <w:r>
        <w:rPr>
          <w:rFonts w:ascii="HarmonyOS Sans SC" w:hAnsi="HarmonyOS Sans SC" w:eastAsia="HarmonyOS Sans SC"/>
          <w:b w:val="0"/>
          <w:color w:val="202124"/>
          <w:sz w:val="21"/>
        </w:rPr>
        <w:t>服务端基于现有 API 项目扩展短剧领域模型及接口，客户端统一消费接口返回的数据。后续如需替换内容源、增加后台页面或迁移视频存储，可在不重写 App 业务页面的前提下完成扩展。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数据对象</w:t>
            </w:r>
          </w:p>
        </w:tc>
        <w:tc>
          <w:tcPr>
            <w:tcW w:type="dxa" w:w="432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基础字段</w:t>
            </w:r>
          </w:p>
        </w:tc>
        <w:tc>
          <w:tcPr>
            <w:tcW w:type="dxa" w:w="417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本次用途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Drama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标题、封面、简介、分类、标签、状态、排序、来源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管理一部短剧的基本信息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Episode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剧集编号、标题、视频地址、时长、封面、状态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支持分集播放和集数列表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Playback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用户、短剧、分集、进度、最后观看时间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用于续播和最近观看功能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Favorite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用户、短剧、创建时间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收藏功能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AdConfig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广告位、平台、地区、开关、频控、版本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支持在不发版的情况下调整广告策略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Event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事件名、用户、剧集、广告位、平台、时间、扩展字段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播放漏斗与广告收益分析</w:t>
            </w:r>
          </w:p>
        </w:tc>
      </w:tr>
    </w:tbl>
    <w:p>
      <w:pPr>
        <w:spacing w:after="20"/>
      </w:pPr>
    </w:p>
    <w:p>
      <w:pPr>
        <w:pStyle w:val="Heading2"/>
        <w:spacing w:before="160" w:after="100" w:line="264" w:lineRule="auto"/>
      </w:pPr>
      <w:r>
        <w:rPr>
          <w:rFonts w:ascii="HarmonyOS Sans SC" w:hAnsi="HarmonyOS Sans SC" w:eastAsia="HarmonyOS Sans SC"/>
          <w:b/>
          <w:color w:val="000000"/>
          <w:sz w:val="24"/>
        </w:rPr>
        <w:t>4.1 基础运营接口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支持短剧及分集的新增、编辑、上下架、排序和分类管理。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视频地址和封面地址支持外部对象存储或甲方现有 CDN。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支持按照来源、状态、更新时间及标签进行查询，为后续运营后台建设提供接口基础。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为后台管理界面预留稳定接口；当前可通过接口文档、JSON 导入或简易运营页面完成内容维护。</w:t>
      </w: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五 内容采集与爬虫方案</w:t>
      </w:r>
    </w:p>
    <w:p>
      <w:pPr>
        <w:spacing w:before="0" w:after="140" w:line="324" w:lineRule="auto"/>
      </w:pPr>
      <w:r>
        <w:rPr>
          <w:rFonts w:ascii="HarmonyOS Sans SC" w:hAnsi="HarmonyOS Sans SC" w:eastAsia="HarmonyOS Sans SC"/>
          <w:b w:val="0"/>
          <w:color w:val="202124"/>
          <w:sz w:val="21"/>
        </w:rPr>
        <w:t>采集模块用于将内容查找、字段整理及数据上传等人工操作转化为可复用的入库流程。本方案不包含绕过登录、验证码、反爬机制、付费墙或版权限制的采集能力，也不承诺抓取任意第三方平台的视频文件。实际接入须以甲方拥有合法授权或来源方明确允许采集为前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96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交付方式</w:t>
            </w:r>
          </w:p>
        </w:tc>
        <w:tc>
          <w:tcPr>
            <w:tcW w:type="dxa" w:w="352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来源适配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为 1 个指定来源提供字段解析和映射适配器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需要甲方提供合法来源、样例页面或 API 文档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字段抽取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标题、封面、简介、分类、标签、集数、视频地址等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字段以来源实际可提供内容为准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去重入库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按来源 ID、标题和集数进行去重，生成草稿记录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不覆盖已人工修改的正式内容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任务执行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手动触发或定时任务、失败重试、错误日志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本次不包含大规模分布式爬虫集群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人工审核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采集结果先入草稿，再由运营确认后发布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未经审核的内容不自动发布</w:t>
            </w:r>
          </w:p>
        </w:tc>
      </w:tr>
    </w:tbl>
    <w:p>
      <w:pPr>
        <w:spacing w:after="20"/>
      </w:pPr>
    </w:p>
    <w:p>
      <w:pPr>
        <w:spacing w:before="0" w:after="100" w:line="307" w:lineRule="auto"/>
      </w:pPr>
      <w:r>
        <w:rPr>
          <w:rFonts w:ascii="HarmonyOS Sans SC" w:hAnsi="HarmonyOS Sans SC" w:eastAsia="HarmonyOS Sans SC"/>
          <w:b/>
          <w:color w:val="202124"/>
          <w:sz w:val="21"/>
        </w:rPr>
        <w:t>建议采用以下数据链路：来源白名单 → 采集任务 → 字段标准化 → 去重 → 草稿库 → 人工审核 → 正式内容 → App 展示。</w:t>
      </w:r>
      <w:r>
        <w:rPr>
          <w:rFonts w:ascii="HarmonyOS Sans SC" w:hAnsi="HarmonyOS Sans SC" w:eastAsia="HarmonyOS Sans SC"/>
          <w:b w:val="0"/>
          <w:color w:val="202124"/>
          <w:sz w:val="21"/>
        </w:rPr>
      </w: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六 广告联盟与 Web3 广告接入</w:t>
      </w:r>
    </w:p>
    <w:p>
      <w:pPr>
        <w:spacing w:before="0" w:after="140" w:line="324" w:lineRule="auto"/>
      </w:pPr>
      <w:r>
        <w:rPr>
          <w:rFonts w:ascii="HarmonyOS Sans SC" w:hAnsi="HarmonyOS Sans SC" w:eastAsia="HarmonyOS Sans SC"/>
          <w:b w:val="0"/>
          <w:color w:val="202124"/>
          <w:sz w:val="21"/>
        </w:rPr>
        <w:t>本次采用统一的广告位抽象层，避免将广告 SDK 调用分散在短剧业务页面中。该方式支持优先接入甲方现有广告账户，并依据后台实际数据调整广告方、投放地区、频控策略及展示位置。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8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7"/>
              </w:rPr>
              <w:t>广告位</w:t>
            </w:r>
          </w:p>
        </w:tc>
        <w:tc>
          <w:tcPr>
            <w:tcW w:type="dxa" w:w="2951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7"/>
              </w:rPr>
              <w:t>触发时机</w:t>
            </w:r>
          </w:p>
        </w:tc>
        <w:tc>
          <w:tcPr>
            <w:tcW w:type="dxa" w:w="316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7"/>
              </w:rPr>
              <w:t>建议用途</w:t>
            </w:r>
          </w:p>
        </w:tc>
        <w:tc>
          <w:tcPr>
            <w:tcW w:type="dxa" w:w="252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7"/>
              </w:rPr>
              <w:t>交付内容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激励视频</w:t>
            </w:r>
          </w:p>
        </w:tc>
        <w:tc>
          <w:tcPr>
            <w:tcW w:type="dxa" w:w="295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用户主动点击解锁或获得额外内容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短剧解锁、免等待、额外权益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广告位接口、回调、完成事件、失败兜底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插屏</w:t>
            </w:r>
          </w:p>
        </w:tc>
        <w:tc>
          <w:tcPr>
            <w:tcW w:type="dxa" w:w="295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自然集间或退出节点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在控制用户干扰的前提下增加有效展示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频控、展示/关闭事件、地区开关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原生广告</w:t>
            </w:r>
          </w:p>
        </w:tc>
        <w:tc>
          <w:tcPr>
            <w:tcW w:type="dxa" w:w="295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首页列表、详情页、探索流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主流联盟或 Web3 品牌卡片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统一卡片协议、点击和曝光事件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Web3 品牌位</w:t>
            </w:r>
          </w:p>
        </w:tc>
        <w:tc>
          <w:tcPr>
            <w:tcW w:type="dxa" w:w="295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探索页或短剧详情页固定位置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钱包、链、基础设施、Web3 工具品牌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设置独立的广告配置及素材位，不与激励奖励机制关联</w:t>
            </w:r>
          </w:p>
        </w:tc>
      </w:tr>
    </w:tbl>
    <w:p>
      <w:pPr>
        <w:spacing w:after="20"/>
      </w:pPr>
    </w:p>
    <w:p>
      <w:pPr>
        <w:spacing w:before="0" w:after="100" w:line="312" w:lineRule="auto"/>
      </w:pPr>
      <w:r>
        <w:rPr>
          <w:rFonts w:ascii="HarmonyOS Sans SC" w:hAnsi="HarmonyOS Sans SC" w:eastAsia="HarmonyOS Sans SC"/>
          <w:b/>
          <w:color w:val="202124"/>
          <w:sz w:val="21"/>
        </w:rPr>
        <w:t>平台接入策略如下：本次交付包含 1 个主广告聚合方案的 SDK 接入，并预留多个广告源配置位；Web3 广告采用独立原生广告位或甲方提供的广告接口。不同平台的实际 eCPM、填充率及结算状态以广告方后台数据为准，本项目不对固定收益作出承诺。</w:t>
      </w:r>
      <w:r>
        <w:rPr>
          <w:rFonts w:ascii="HarmonyOS Sans SC" w:hAnsi="HarmonyOS Sans SC" w:eastAsia="HarmonyOS Sans SC"/>
          <w:b w:val="0"/>
          <w:color w:val="202124"/>
          <w:sz w:val="21"/>
        </w:rPr>
      </w:r>
    </w:p>
    <w:p>
      <w:pPr>
        <w:spacing w:before="0" w:after="80" w:line="312" w:lineRule="auto"/>
      </w:pPr>
      <w:r>
        <w:rPr>
          <w:rFonts w:ascii="HarmonyOS Sans SC" w:hAnsi="HarmonyOS Sans SC" w:eastAsia="HarmonyOS Sans SC"/>
          <w:b/>
          <w:color w:val="202124"/>
          <w:sz w:val="21"/>
        </w:rPr>
        <w:t>合规要求：激励广告不得以加密货币作为奖励，且不得诱导用户点击广告；Web3 广告的投放主体、目标地区、素材及落地页须由甲方完成合规确认。</w:t>
      </w:r>
      <w:r>
        <w:rPr>
          <w:rFonts w:ascii="HarmonyOS Sans SC" w:hAnsi="HarmonyOS Sans SC" w:eastAsia="HarmonyOS Sans SC"/>
          <w:b w:val="0"/>
          <w:color w:val="202124"/>
          <w:sz w:val="21"/>
        </w:rPr>
      </w: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七 数据埋点与收益核算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460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45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drama_impression</w:t>
            </w:r>
          </w:p>
        </w:tc>
        <w:tc>
          <w:tcPr>
            <w:tcW w:type="dxa" w:w="460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剧 ID、位置、来源、用户、时间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统计内容曝光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episode_start</w:t>
            </w:r>
          </w:p>
        </w:tc>
        <w:tc>
          <w:tcPr>
            <w:tcW w:type="dxa" w:w="460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剧 ID、集数、播放方式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统计播放转化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episode_complete</w:t>
            </w:r>
          </w:p>
        </w:tc>
        <w:tc>
          <w:tcPr>
            <w:tcW w:type="dxa" w:w="460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剧 ID、集数、播放时长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统计完播率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ad_request</w:t>
            </w:r>
          </w:p>
        </w:tc>
        <w:tc>
          <w:tcPr>
            <w:tcW w:type="dxa" w:w="460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广告位、平台、地区、设备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计算请求量和填充率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ad_show</w:t>
            </w:r>
          </w:p>
        </w:tc>
        <w:tc>
          <w:tcPr>
            <w:tcW w:type="dxa" w:w="460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广告位、广告源、平台、国家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统计有效展示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ad_complete</w:t>
            </w:r>
          </w:p>
        </w:tc>
        <w:tc>
          <w:tcPr>
            <w:tcW w:type="dxa" w:w="460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广告位、广告类型、剧集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统计激励完成率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ad_revenue</w:t>
            </w:r>
          </w:p>
        </w:tc>
        <w:tc>
          <w:tcPr>
            <w:tcW w:type="dxa" w:w="460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广告源、eCPM、收入、币种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对接 ILR 或后台收益数据</w:t>
            </w:r>
          </w:p>
        </w:tc>
      </w:tr>
    </w:tbl>
    <w:p>
      <w:pPr>
        <w:spacing w:after="20"/>
      </w:pPr>
    </w:p>
    <w:p>
      <w:pPr>
        <w:spacing w:before="0" w:after="0" w:line="312" w:lineRule="auto"/>
      </w:pPr>
      <w:r>
        <w:rPr>
          <w:rFonts w:ascii="HarmonyOS Sans SC" w:hAnsi="HarmonyOS Sans SC" w:eastAsia="HarmonyOS Sans SC"/>
          <w:b/>
          <w:color w:val="202124"/>
          <w:sz w:val="21"/>
        </w:rPr>
        <w:t>收益核算以广告平台真实报告为依据：收入 = 有效展示量 ÷ 1000 × 实际发布者 eCPM。DAU 仅作为用户规模指标，不可直接替代有效展示量及 eCPM。</w:t>
      </w:r>
      <w:r>
        <w:rPr>
          <w:rFonts w:ascii="HarmonyOS Sans SC" w:hAnsi="HarmonyOS Sans SC" w:eastAsia="HarmonyOS Sans SC"/>
          <w:b w:val="0"/>
          <w:color w:val="202124"/>
          <w:sz w:val="21"/>
        </w:rPr>
      </w:r>
    </w:p>
    <w:p>
      <w:pPr>
        <w:pStyle w:val="Heading2"/>
        <w:spacing w:before="160" w:after="100" w:line="264" w:lineRule="auto"/>
      </w:pPr>
      <w:r>
        <w:rPr>
          <w:rFonts w:ascii="HarmonyOS Sans SC" w:hAnsi="HarmonyOS Sans SC" w:eastAsia="HarmonyOS Sans SC"/>
          <w:b/>
          <w:color w:val="000000"/>
          <w:sz w:val="24"/>
        </w:rPr>
        <w:t>7.1 具体广告方的官方计算口径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6"/>
              </w:rPr>
              <w:t>广告方</w:t>
            </w:r>
          </w:p>
        </w:tc>
        <w:tc>
          <w:tcPr>
            <w:tcW w:type="dxa" w:w="3671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6"/>
              </w:rPr>
              <w:t>官方可取数据</w:t>
            </w:r>
          </w:p>
        </w:tc>
        <w:tc>
          <w:tcPr>
            <w:tcW w:type="dxa" w:w="324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6"/>
              </w:rPr>
              <w:t>计算方式</w:t>
            </w:r>
          </w:p>
        </w:tc>
        <w:tc>
          <w:tcPr>
            <w:tcW w:type="dxa" w:w="280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6"/>
              </w:rPr>
              <w:t>不做的承诺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Google AdMob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AdMob 报告中的展示量、预估收入、eCPM；可用 Impression Level Revenue 做单次展示收益核对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按报告周期汇总预估收入；如需换算：收入 = 有效展示量 ÷ 1000 × 发布者实际 eCPM</w:t>
            </w:r>
          </w:p>
        </w:tc>
        <w:tc>
          <w:tcPr>
            <w:tcW w:type="dxa" w:w="280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不使用网上所谓固定国家 eCPM 作为报价依据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AppLovin MAX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Revenue Reporting API 返回广告收入、展示量、国家、广告单元和广告源等维度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按日期、国家、广告位和广告源汇总 API 返回的 estimated revenue；用后台结果回填 ad_revenue</w:t>
            </w:r>
          </w:p>
        </w:tc>
        <w:tc>
          <w:tcPr>
            <w:tcW w:type="dxa" w:w="280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不把 DAU 直接乘一个假定单价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Unity LevelPlay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Performance Reports 提供广告收入、eCPM、展示量、填充率等性能字段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按广告位/国家/广告源读取报告；收入优先取报告收入，eCPM 只用于校验和拆分</w:t>
            </w:r>
          </w:p>
        </w:tc>
        <w:tc>
          <w:tcPr>
            <w:tcW w:type="dxa" w:w="280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不承诺平台审核前或低填充阶段的收益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Web3：Cointraffic / Coinzilla / Bitmedia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以发布者后台、订单合同、付款条款和实际展示/点击记录为准；不同广告主、地区和形式可能不同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按合同约定的 CPM、CPC 或固定包月结算；系统记录展示、点击、周期和币种，依据实际到账情况进行核对</w:t>
            </w:r>
          </w:p>
        </w:tc>
        <w:tc>
          <w:tcPr>
            <w:tcW w:type="dxa" w:w="280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6"/>
              </w:rPr>
              <w:t>不把 Web3 广告 FAQ 或案例中的单价当成甲方必得收入</w:t>
            </w:r>
          </w:p>
        </w:tc>
      </w:tr>
    </w:tbl>
    <w:p>
      <w:pPr>
        <w:spacing w:after="20"/>
      </w:pPr>
    </w:p>
    <w:p>
      <w:pPr>
        <w:spacing w:before="0" w:after="0" w:line="312" w:lineRule="auto"/>
      </w:pPr>
      <w:r>
        <w:rPr>
          <w:rFonts w:ascii="HarmonyOS Sans SC" w:hAnsi="HarmonyOS Sans SC" w:eastAsia="HarmonyOS Sans SC"/>
          <w:b/>
          <w:color w:val="202124"/>
          <w:sz w:val="21"/>
        </w:rPr>
        <w:t>结论：公开官方资料可用于确认各平台支持的报表字段及结算口径，但通常不会针对所有应用、国家及广告位提供统一适用的固定 eCPM。项目交付内容包括可切换的广告源、有效展示记录及收益对账数据链路；上线后以甲方广告平台后台实际报表作为收益核算依据。</w:t>
      </w:r>
      <w:r>
        <w:rPr>
          <w:rFonts w:ascii="HarmonyOS Sans SC" w:hAnsi="HarmonyOS Sans SC" w:eastAsia="HarmonyOS Sans SC"/>
          <w:b w:val="0"/>
          <w:color w:val="202124"/>
          <w:sz w:val="21"/>
        </w:rPr>
      </w:r>
    </w:p>
    <w:p>
      <w:r>
        <w:br w:type="page"/>
      </w: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八 技术实现与交付物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交付项</w:t>
            </w:r>
          </w:p>
        </w:tc>
        <w:tc>
          <w:tcPr>
            <w:tcW w:type="dxa" w:w="554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73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交付形式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Flutter 客户端</w:t>
            </w:r>
          </w:p>
        </w:tc>
        <w:tc>
          <w:tcPr>
            <w:tcW w:type="dxa" w:w="55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入口、首页、详情、分集、播放、收藏、历史、广告位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合并到现有 Flutter 工程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API 服务</w:t>
            </w:r>
          </w:p>
        </w:tc>
        <w:tc>
          <w:tcPr>
            <w:tcW w:type="dxa" w:w="55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短剧、分集、播放记录、收藏、广告配置、事件接口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Go API 代码和数据库迁移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采集服务</w:t>
            </w:r>
          </w:p>
        </w:tc>
        <w:tc>
          <w:tcPr>
            <w:tcW w:type="dxa" w:w="55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来源适配、解析、去重、草稿、任务日志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可运行脚本或服务及配置样例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广告接入层</w:t>
            </w:r>
          </w:p>
        </w:tc>
        <w:tc>
          <w:tcPr>
            <w:tcW w:type="dxa" w:w="55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主广告聚合方案 SDK、广告位封装、回调、频控及 Web3 原生位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客户端模块和接入说明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测试与部署</w:t>
            </w:r>
          </w:p>
        </w:tc>
        <w:tc>
          <w:tcPr>
            <w:tcW w:type="dxa" w:w="55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接口测试、核心流程测试、构建验证、部署说明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测试记录和发布包说明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项目文档</w:t>
            </w:r>
          </w:p>
        </w:tc>
        <w:tc>
          <w:tcPr>
            <w:tcW w:type="dxa" w:w="554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接口字段、配置项、广告位说明、运营流程、验收清单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Markdown 或 Word 文档</w:t>
            </w:r>
          </w:p>
        </w:tc>
      </w:tr>
    </w:tbl>
    <w:p>
      <w:pPr>
        <w:spacing w:after="20"/>
      </w:pP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九 计划周期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3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76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主要产出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需求确认与数据结构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第 1～3 个工作日</w:t>
            </w:r>
          </w:p>
        </w:tc>
        <w:tc>
          <w:tcPr>
            <w:tcW w:type="dxa" w:w="57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字段、页面流程、广告位、来源样例确认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客户端短剧模块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第 4～10 个工作日</w:t>
            </w:r>
          </w:p>
        </w:tc>
        <w:tc>
          <w:tcPr>
            <w:tcW w:type="dxa" w:w="57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首页、详情、播放、历史和收藏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服务端与采集适配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第 8～18 个工作日</w:t>
            </w:r>
          </w:p>
        </w:tc>
        <w:tc>
          <w:tcPr>
            <w:tcW w:type="dxa" w:w="57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API、数据表、采集任务、草稿入库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广告与埋点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第 15～22 个工作日</w:t>
            </w:r>
          </w:p>
        </w:tc>
        <w:tc>
          <w:tcPr>
            <w:tcW w:type="dxa" w:w="57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主广告方案、Web3 原生位、收益事件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联调验收与交付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第 23～30 个工作日</w:t>
            </w:r>
          </w:p>
        </w:tc>
        <w:tc>
          <w:tcPr>
            <w:tcW w:type="dxa" w:w="57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修复问题、构建验证、文档和部署说明</w:t>
            </w:r>
          </w:p>
        </w:tc>
      </w:tr>
    </w:tbl>
    <w:p>
      <w:pPr>
        <w:spacing w:after="20"/>
      </w:pPr>
    </w:p>
    <w:p>
      <w:pPr>
        <w:spacing w:before="0" w:after="0" w:line="312" w:lineRule="auto"/>
      </w:pPr>
      <w:r>
        <w:rPr>
          <w:rFonts w:ascii="HarmonyOS Sans SC" w:hAnsi="HarmonyOS Sans SC" w:eastAsia="HarmonyOS Sans SC"/>
          <w:b/>
          <w:color w:val="202124"/>
          <w:sz w:val="21"/>
        </w:rPr>
        <w:t>周期前提：甲方应在项目启动前提供广告平台账号、包名/Bundle ID、合法内容来源、测试视频、封面素材及部署环境信息。第三方审核、广告账户审批、应用商店审核及素材版权确认等事项不计入开发工期。</w:t>
      </w:r>
      <w:r>
        <w:rPr>
          <w:rFonts w:ascii="HarmonyOS Sans SC" w:hAnsi="HarmonyOS Sans SC" w:eastAsia="HarmonyOS Sans SC"/>
          <w:b w:val="0"/>
          <w:color w:val="202124"/>
          <w:sz w:val="21"/>
        </w:rPr>
      </w: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十 工作包构成</w:t>
      </w:r>
    </w:p>
    <w:p>
      <w:pPr>
        <w:spacing w:before="0" w:after="120" w:line="312" w:lineRule="auto"/>
      </w:pPr>
      <w:r>
        <w:rPr>
          <w:rFonts w:ascii="HarmonyOS Sans SC" w:hAnsi="HarmonyOS Sans SC" w:eastAsia="HarmonyOS Sans SC"/>
          <w:b w:val="0"/>
          <w:color w:val="202124"/>
          <w:sz w:val="21"/>
        </w:rPr>
        <w:t>本项目按照上述开发范围整体交付，商务条款及付款节点另行确认。以下拆分用于说明各工作包对应的具体产出。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172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交付状态</w:t>
            </w:r>
          </w:p>
        </w:tc>
        <w:tc>
          <w:tcPr>
            <w:tcW w:type="dxa" w:w="547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对应成果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产品流程与数据设计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包含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页面流程、数据模型、广告位和事件方案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Flutter 短剧端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包含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首页、详情、播放、分集、历史、收藏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Go API 与内容接口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包含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短剧/分集/播放记录/收藏/广告配置接口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采集适配与入库流程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包含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1 个合法来源适配、解析、去重、草稿入库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广告接入与数据埋点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包含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1 个主广告方案、Web3 原生位、收益事件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测试、部署与文档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包含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构建验证、接口说明、部署和验收文档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项目交付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包含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短剧内容消费与广告变现闭环</w:t>
            </w:r>
          </w:p>
        </w:tc>
      </w:tr>
    </w:tbl>
    <w:p>
      <w:pPr>
        <w:spacing w:after="20"/>
      </w:pP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十一 验收标准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验收时，用户应能够从现有 App 进入短剧模块，浏览短剧列表并打开详情页。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用户应能够选择分集播放；播放失败时应提供重试或错误提示，退出后可通过历史记录继续观看。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用户应能够收藏或取消收藏短剧，并在历史记录中查看最近播放剧集、播放进度及继续观看入口；运营方应能够通过接口或简易运营流程完成短剧及分集的新增、编辑、排序和上下架。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采集任务应能够对指定合法来源完成字段解析、去重及草稿写入；对于格式不符合要求的任务，应生成错误日志。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广告位应能够完成请求、展示、关闭及回调；广告事件应能够写入服务端或统一分析入口。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Android 和 iOS 核心页面应完成构建验证，且现有钱包、社交及直播主流程不受影响。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项目交付物应包括源代码、数据库迁移文件、配置说明、接口文档及验收记录。</w:t>
      </w: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十二 不包含内容与后续增值方向</w:t>
      </w:r>
    </w:p>
    <w:p>
      <w:pPr>
        <w:spacing w:before="0" w:after="120" w:line="312" w:lineRule="auto"/>
      </w:pPr>
      <w:r>
        <w:rPr>
          <w:rFonts w:ascii="HarmonyOS Sans SC" w:hAnsi="HarmonyOS Sans SC" w:eastAsia="HarmonyOS Sans SC"/>
          <w:b w:val="0"/>
          <w:color w:val="202124"/>
          <w:sz w:val="21"/>
        </w:rPr>
        <w:t>为保证项目按计划交付，以下内容不纳入本次范围，但相关接口将预留扩展能力。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7"/>
              </w:rPr>
              <w:t>不包含项</w:t>
            </w:r>
          </w:p>
        </w:tc>
        <w:tc>
          <w:tcPr>
            <w:tcW w:type="dxa" w:w="3671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3671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7"/>
              </w:rPr>
              <w:t>后续可扩展方向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短剧版权与采购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需要甲方确认内容授权和商业合作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接入正版版权库、分账或内容合作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视频转码、CDN、DRM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属于独立的视频基础设施成本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接入对象存储、转码队列、鉴权和防盗链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无限量爬虫与反爬绕过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存在合规、稳定性和维护成本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增加授权来源、API 采集或商务数据源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完整 CMS 管理后台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当前通过接口或简易运营流程完成内容维护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后续可扩展为 Web CMS、批量导入及审核工作流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固定广告收益保证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eCPM、填充率和结算由广告平台决定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接入更多需求源，按后台数据做收益优化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会员、付费解锁、分账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涉及支付、税务和内容结算规则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后续可扩展订阅、钱包支付及广告免看权益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推荐算法与个性化 feed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需要积累播放和留存数据</w:t>
            </w:r>
          </w:p>
        </w:tc>
        <w:tc>
          <w:tcPr>
            <w:tcW w:type="dxa" w:w="367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7"/>
              </w:rPr>
              <w:t>基于完播、收藏、跳出及用户标签持续优化推荐策略</w:t>
            </w:r>
          </w:p>
        </w:tc>
      </w:tr>
    </w:tbl>
    <w:p>
      <w:pPr>
        <w:spacing w:after="20"/>
      </w:pP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十三 甲方需要提供的资料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甲方应提供短剧内容来源、授权说明或测试数据。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甲方应提供至少 3 部测试短剧，以及每部 3～5 集的视频地址、封面和基础文案。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甲方应提供 Android 包名、iOS Bundle ID、广告平台账号或测试广告单元 ID。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如涉及 Web3 广告，甲方应提供广告合作方、品牌素材、落地页及投放地区信息。</w:t>
      </w:r>
    </w:p>
    <w:p>
      <w:pPr>
        <w:pStyle w:val="ListBullet"/>
        <w:spacing w:before="0" w:after="60" w:line="283" w:lineRule="auto"/>
      </w:pPr>
      <w:r>
        <w:rPr>
          <w:rFonts w:ascii="HarmonyOS Sans SC" w:hAnsi="HarmonyOS Sans SC" w:eastAsia="HarmonyOS Sans SC"/>
          <w:b w:val="0"/>
          <w:color w:val="202124"/>
          <w:sz w:val="20"/>
        </w:rPr>
        <w:t>甲方应提供测试设备、部署环境、对象存储/CDN 配置及发布账号权限。</w:t>
      </w: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十四 结论</w:t>
      </w:r>
    </w:p>
    <w:p>
      <w:pPr>
        <w:spacing w:before="0" w:after="140" w:line="336" w:lineRule="auto"/>
      </w:pPr>
      <w:r>
        <w:rPr>
          <w:rFonts w:ascii="HarmonyOS Sans SC" w:hAnsi="HarmonyOS Sans SC" w:eastAsia="HarmonyOS Sans SC"/>
          <w:b w:val="0"/>
          <w:color w:val="202124"/>
          <w:sz w:val="21"/>
        </w:rPr>
        <w:t>在本次方案范围内，甲方将获得具备上线运行、内容导入、连续播放、广告接入、数据记录及后续扩展能力的短剧平台，而非仅用于展示的静态页面。</w:t>
      </w:r>
    </w:p>
    <w:p>
      <w:pPr>
        <w:spacing w:before="0" w:after="0" w:line="336" w:lineRule="auto"/>
      </w:pPr>
      <w:r>
        <w:rPr>
          <w:rFonts w:ascii="HarmonyOS Sans SC" w:hAnsi="HarmonyOS Sans SC" w:eastAsia="HarmonyOS Sans SC"/>
          <w:b w:val="0"/>
          <w:color w:val="202124"/>
          <w:sz w:val="21"/>
        </w:rPr>
        <w:t>项目完成后，评价重点应为实际形成的短剧 DAU、播放时长、完播率、广告展示量、填充率及实际 eCPM，而非预先承诺固定的广告收益。上述数据形成后，可为后续扩大短剧内容、接入更多广告方或增加会员及付费解锁功能提供决策依据。</w:t>
      </w:r>
    </w:p>
    <w:p>
      <w:r>
        <w:br w:type="page"/>
      </w: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附录一 官方平台资料边界</w:t>
      </w:r>
    </w:p>
    <w:p>
      <w:pPr>
        <w:spacing w:before="0" w:after="140" w:line="312" w:lineRule="auto"/>
      </w:pPr>
      <w:r>
        <w:rPr>
          <w:rFonts w:ascii="HarmonyOS Sans SC" w:hAnsi="HarmonyOS Sans SC" w:eastAsia="HarmonyOS Sans SC"/>
          <w:b w:val="0"/>
          <w:color w:val="202124"/>
          <w:sz w:val="21"/>
        </w:rPr>
        <w:t>以下资料用于说明广告平台的官方数据能力和结算口径，不代表 ACO Chat 已获得平台批准，也不构成固定收益承诺。</w:t>
      </w:r>
    </w:p>
    <w:p>
      <w:pPr>
        <w:pStyle w:val="ListBullet"/>
        <w:spacing w:before="0" w:after="60" w:line="269" w:lineRule="auto"/>
      </w:pPr>
      <w:r>
        <w:rPr>
          <w:rFonts w:ascii="HarmonyOS Sans SC" w:hAnsi="HarmonyOS Sans SC" w:eastAsia="HarmonyOS Sans SC"/>
          <w:b/>
          <w:color w:val="202124"/>
          <w:sz w:val="18"/>
        </w:rPr>
        <w:t>Google AdMob eCPM Trends：</w:t>
      </w:r>
      <w:r>
        <w:rPr>
          <w:rFonts w:ascii="HarmonyOS Sans SC" w:hAnsi="HarmonyOS Sans SC" w:eastAsia="HarmonyOS Sans SC"/>
          <w:b w:val="0"/>
          <w:color w:val="2F75B5"/>
          <w:sz w:val="17"/>
        </w:rPr>
        <w:t>https://support.google.com/admob/answer/14660616</w:t>
      </w:r>
    </w:p>
    <w:p>
      <w:pPr>
        <w:pStyle w:val="ListBullet"/>
        <w:spacing w:before="0" w:after="60" w:line="269" w:lineRule="auto"/>
      </w:pPr>
      <w:r>
        <w:rPr>
          <w:rFonts w:ascii="HarmonyOS Sans SC" w:hAnsi="HarmonyOS Sans SC" w:eastAsia="HarmonyOS Sans SC"/>
          <w:b/>
          <w:color w:val="202124"/>
          <w:sz w:val="18"/>
        </w:rPr>
        <w:t>Google AdMob Impression Level Revenue：</w:t>
      </w:r>
      <w:r>
        <w:rPr>
          <w:rFonts w:ascii="HarmonyOS Sans SC" w:hAnsi="HarmonyOS Sans SC" w:eastAsia="HarmonyOS Sans SC"/>
          <w:b w:val="0"/>
          <w:color w:val="2F75B5"/>
          <w:sz w:val="17"/>
        </w:rPr>
        <w:t>https://support.google.com/admob/answer/11322405</w:t>
      </w:r>
    </w:p>
    <w:p>
      <w:pPr>
        <w:pStyle w:val="ListBullet"/>
        <w:spacing w:before="0" w:after="60" w:line="269" w:lineRule="auto"/>
      </w:pPr>
      <w:r>
        <w:rPr>
          <w:rFonts w:ascii="HarmonyOS Sans SC" w:hAnsi="HarmonyOS Sans SC" w:eastAsia="HarmonyOS Sans SC"/>
          <w:b/>
          <w:color w:val="202124"/>
          <w:sz w:val="18"/>
        </w:rPr>
        <w:t>Google AdMob Price Transparency：</w:t>
      </w:r>
      <w:r>
        <w:rPr>
          <w:rFonts w:ascii="HarmonyOS Sans SC" w:hAnsi="HarmonyOS Sans SC" w:eastAsia="HarmonyOS Sans SC"/>
          <w:b w:val="0"/>
          <w:color w:val="2F75B5"/>
          <w:sz w:val="17"/>
        </w:rPr>
        <w:t>https://support.google.com/admob/answer/13651366</w:t>
      </w:r>
    </w:p>
    <w:p>
      <w:pPr>
        <w:pStyle w:val="ListBullet"/>
        <w:spacing w:before="0" w:after="60" w:line="269" w:lineRule="auto"/>
      </w:pPr>
      <w:r>
        <w:rPr>
          <w:rFonts w:ascii="HarmonyOS Sans SC" w:hAnsi="HarmonyOS Sans SC" w:eastAsia="HarmonyOS Sans SC"/>
          <w:b/>
          <w:color w:val="202124"/>
          <w:sz w:val="18"/>
        </w:rPr>
        <w:t>AppLovin MAX Revenue Reporting API：</w:t>
      </w:r>
      <w:r>
        <w:rPr>
          <w:rFonts w:ascii="HarmonyOS Sans SC" w:hAnsi="HarmonyOS Sans SC" w:eastAsia="HarmonyOS Sans SC"/>
          <w:b w:val="0"/>
          <w:color w:val="2F75B5"/>
          <w:sz w:val="17"/>
        </w:rPr>
        <w:t>https://developers.applovin.com/en/max/reporting-apis/revenue-reporting-api/</w:t>
      </w:r>
    </w:p>
    <w:p>
      <w:pPr>
        <w:pStyle w:val="ListBullet"/>
        <w:spacing w:before="0" w:after="60" w:line="269" w:lineRule="auto"/>
      </w:pPr>
      <w:r>
        <w:rPr>
          <w:rFonts w:ascii="HarmonyOS Sans SC" w:hAnsi="HarmonyOS Sans SC" w:eastAsia="HarmonyOS Sans SC"/>
          <w:b/>
          <w:color w:val="202124"/>
          <w:sz w:val="18"/>
        </w:rPr>
        <w:t>Unity LevelPlay Performance Reports：</w:t>
      </w:r>
      <w:r>
        <w:rPr>
          <w:rFonts w:ascii="HarmonyOS Sans SC" w:hAnsi="HarmonyOS Sans SC" w:eastAsia="HarmonyOS Sans SC"/>
          <w:b w:val="0"/>
          <w:color w:val="2F75B5"/>
          <w:sz w:val="17"/>
        </w:rPr>
        <w:t>https://docs.unity.com/grow/levelplay/platform/measurement/performance-reports</w:t>
      </w:r>
    </w:p>
    <w:p>
      <w:pPr>
        <w:pStyle w:val="ListBullet"/>
        <w:spacing w:before="0" w:after="60" w:line="269" w:lineRule="auto"/>
      </w:pPr>
      <w:r>
        <w:rPr>
          <w:rFonts w:ascii="HarmonyOS Sans SC" w:hAnsi="HarmonyOS Sans SC" w:eastAsia="HarmonyOS Sans SC"/>
          <w:b/>
          <w:color w:val="202124"/>
          <w:sz w:val="18"/>
        </w:rPr>
        <w:t>Unity Ads Reporting：</w:t>
      </w:r>
      <w:r>
        <w:rPr>
          <w:rFonts w:ascii="HarmonyOS Sans SC" w:hAnsi="HarmonyOS Sans SC" w:eastAsia="HarmonyOS Sans SC"/>
          <w:b w:val="0"/>
          <w:color w:val="2F75B5"/>
          <w:sz w:val="17"/>
        </w:rPr>
        <w:t>https://docs.unity.com/grow/dashboard/reporting/unity-ads-reporting</w:t>
      </w:r>
    </w:p>
    <w:p>
      <w:pPr>
        <w:pStyle w:val="ListBullet"/>
        <w:spacing w:before="0" w:after="60" w:line="269" w:lineRule="auto"/>
      </w:pPr>
      <w:r>
        <w:rPr>
          <w:rFonts w:ascii="HarmonyOS Sans SC" w:hAnsi="HarmonyOS Sans SC" w:eastAsia="HarmonyOS Sans SC"/>
          <w:b/>
          <w:color w:val="202124"/>
          <w:sz w:val="18"/>
        </w:rPr>
        <w:t>Cointraffic CPM Guidance：</w:t>
      </w:r>
      <w:r>
        <w:rPr>
          <w:rFonts w:ascii="HarmonyOS Sans SC" w:hAnsi="HarmonyOS Sans SC" w:eastAsia="HarmonyOS Sans SC"/>
          <w:b w:val="0"/>
          <w:color w:val="2F75B5"/>
          <w:sz w:val="17"/>
        </w:rPr>
        <w:t>https://faq.cointraffic.com/en/articles/2707032-how-much-does-crypto-advertising-on-cointraffic-cost</w:t>
      </w:r>
    </w:p>
    <w:p>
      <w:pPr>
        <w:pStyle w:val="ListBullet"/>
        <w:spacing w:before="0" w:after="60" w:line="269" w:lineRule="auto"/>
      </w:pPr>
      <w:r>
        <w:rPr>
          <w:rFonts w:ascii="HarmonyOS Sans SC" w:hAnsi="HarmonyOS Sans SC" w:eastAsia="HarmonyOS Sans SC"/>
          <w:b/>
          <w:color w:val="202124"/>
          <w:sz w:val="18"/>
        </w:rPr>
        <w:t>Cointraffic Publisher Terms：</w:t>
      </w:r>
      <w:r>
        <w:rPr>
          <w:rFonts w:ascii="HarmonyOS Sans SC" w:hAnsi="HarmonyOS Sans SC" w:eastAsia="HarmonyOS Sans SC"/>
          <w:b w:val="0"/>
          <w:color w:val="2F75B5"/>
          <w:sz w:val="17"/>
        </w:rPr>
        <w:t>https://cointraffic.com/legal/terms-for-publisher/</w:t>
      </w:r>
    </w:p>
    <w:p>
      <w:pPr>
        <w:pStyle w:val="ListBullet"/>
        <w:spacing w:before="0" w:after="60" w:line="269" w:lineRule="auto"/>
      </w:pPr>
      <w:r>
        <w:rPr>
          <w:rFonts w:ascii="HarmonyOS Sans SC" w:hAnsi="HarmonyOS Sans SC" w:eastAsia="HarmonyOS Sans SC"/>
          <w:b/>
          <w:color w:val="202124"/>
          <w:sz w:val="18"/>
        </w:rPr>
        <w:t>Coinzilla Publisher FAQ：</w:t>
      </w:r>
      <w:r>
        <w:rPr>
          <w:rFonts w:ascii="HarmonyOS Sans SC" w:hAnsi="HarmonyOS Sans SC" w:eastAsia="HarmonyOS Sans SC"/>
          <w:b w:val="0"/>
          <w:color w:val="2F75B5"/>
          <w:sz w:val="17"/>
        </w:rPr>
        <w:t>https://coinzilla.com/faq-publishers/</w:t>
      </w:r>
    </w:p>
    <w:p>
      <w:pPr>
        <w:pStyle w:val="ListBullet"/>
        <w:spacing w:before="0" w:after="60" w:line="269" w:lineRule="auto"/>
      </w:pPr>
      <w:r>
        <w:rPr>
          <w:rFonts w:ascii="HarmonyOS Sans SC" w:hAnsi="HarmonyOS Sans SC" w:eastAsia="HarmonyOS Sans SC"/>
          <w:b/>
          <w:color w:val="202124"/>
          <w:sz w:val="18"/>
        </w:rPr>
        <w:t>Bitmedia Publisher FAQ：</w:t>
      </w:r>
      <w:r>
        <w:rPr>
          <w:rFonts w:ascii="HarmonyOS Sans SC" w:hAnsi="HarmonyOS Sans SC" w:eastAsia="HarmonyOS Sans SC"/>
          <w:b w:val="0"/>
          <w:color w:val="2F75B5"/>
          <w:sz w:val="17"/>
        </w:rPr>
        <w:t>https://bitmedia.io/faq/publishers</w:t>
      </w:r>
    </w:p>
    <w:p>
      <w:pPr>
        <w:pStyle w:val="Heading1"/>
        <w:spacing w:before="240" w:after="100" w:line="264" w:lineRule="auto"/>
      </w:pPr>
      <w:r>
        <w:rPr>
          <w:rFonts w:ascii="HarmonyOS Sans SC" w:hAnsi="HarmonyOS Sans SC" w:eastAsia="HarmonyOS Sans SC"/>
          <w:b/>
          <w:color w:val="000000"/>
          <w:sz w:val="30"/>
        </w:rPr>
        <w:t>附录二 项目完成后的后续建议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705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后续价值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Web CMS 内容后台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运营人员可批量导入、审核、排序、下架内容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多来源授权采集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降低单一来源风险，提高内容更新效率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广告收益优化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按国家、平台、广告源、广告位和频控做 A/B 测试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会员与付费解锁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5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从单一广告收入扩展到订阅、钱包支付和分账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推荐与增长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armonyOS Sans SC" w:hAnsi="HarmonyOS Sans SC" w:eastAsia="HarmonyOS Sans SC"/>
                <w:b w:val="0"/>
                <w:color w:val="202124"/>
                <w:sz w:val="18"/>
              </w:rPr>
              <w:t>基于完播、收藏、回访和分享优化内容分发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HarmonyOS Sans SC" w:hAnsi="HarmonyOS Sans SC" w:eastAsia="HarmonyOS Sans SC"/>
        <w:b w:val="0"/>
        <w:color w:val="5F6368"/>
        <w:sz w:val="17"/>
      </w:rPr>
      <w:t>短剧开发方案与合作说明  ·  第  页</w:t>
    </w:r>
    <w:r/>
    <w:r>
      <w:rPr>
        <w:rFonts w:ascii="HarmonyOS Sans SC" w:hAnsi="HarmonyOS Sans SC" w:eastAsia="HarmonyOS Sans SC"/>
        <w:b w:val="0"/>
        <w:color w:val="5F6368"/>
        <w:sz w:val="17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HarmonyOS Sans SC" w:hAnsi="HarmonyOS Sans SC" w:eastAsia="HarmonyOS Sans SC"/>
        <w:b w:val="0"/>
        <w:color w:val="5F6368"/>
        <w:sz w:val="17"/>
      </w:rPr>
      <w:t>ACO Chat  |  短剧平台开发方案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armonyOS Sans SC" w:hAnsi="HarmonyOS Sans SC" w:eastAsia="HarmonyOS Sans SC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armonyOS Sans SC" w:hAnsi="HarmonyOS Sans SC" w:eastAsia="HarmonyOS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armonyOS Sans SC" w:hAnsi="HarmonyOS Sans SC" w:eastAsia="HarmonyOS Sans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armonyOS Sans SC" w:hAnsi="HarmonyOS Sans SC" w:eastAsia="HarmonyOS Sans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rPr>
      <w:rFonts w:ascii="HarmonyOS Sans SC" w:hAnsi="HarmonyOS Sans SC" w:eastAsia="HarmonyOS Sans SC"/>
      <w:color w:val="5F636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短剧平台开发方案与合作说明</dc:title>
  <dc:subject>短剧平台项目交付方案</dc:subject>
  <dc:creator>ACO Chat 项目组</dc:creator>
  <cp:keywords/>
  <dc:description>短剧平台开发方案与合作说明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