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rFonts w:ascii="Calibri" w:hAnsi="Calibri"/>
          <w:b/>
          <w:color w:val="00521A"/>
          <w:sz w:val="20"/>
        </w:rPr>
        <w:t>CMC BROADCAST MONITORING PLATFORM</w:t>
      </w:r>
    </w:p>
    <w:p>
      <w:pPr>
        <w:spacing w:after="120"/>
        <w:jc w:val="center"/>
      </w:pPr>
      <w:r>
        <w:rPr>
          <w:rFonts w:ascii="Calibri" w:hAnsi="Calibri"/>
          <w:b/>
          <w:color w:val="0B1E3A"/>
          <w:sz w:val="56"/>
        </w:rPr>
        <w:t>Production Infrastructure Specification</w:t>
      </w:r>
    </w:p>
    <w:p>
      <w:pPr>
        <w:spacing w:after="480"/>
        <w:jc w:val="center"/>
      </w:pPr>
      <w:r>
        <w:rPr>
          <w:rFonts w:ascii="Calibri" w:hAnsi="Calibri"/>
          <w:i/>
          <w:color w:val="5A6572"/>
          <w:sz w:val="26"/>
        </w:rPr>
        <w:t>Server &amp; Video-Wall Hardware Recommendation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color w:val="0B1E3A"/>
                <w:sz w:val="20"/>
              </w:rPr>
              <w:t>Prepared for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Client Review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color w:val="0B1E3A"/>
                <w:sz w:val="20"/>
              </w:rPr>
              <w:t>Prepared by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Analysys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color w:val="0B1E3A"/>
                <w:sz w:val="20"/>
              </w:rPr>
              <w:t>Document version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color w:val="0B1E3A"/>
                <w:sz w:val="20"/>
              </w:rPr>
              <w:t>Date issued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05 August 2026</w:t>
            </w:r>
          </w:p>
        </w:tc>
      </w:tr>
    </w:tbl>
    <w:p/>
    <w:p/>
    <w:p/>
    <w:p/>
    <w:p/>
    <w:p/>
    <w:p/>
    <w:p/>
    <w:p/>
    <w:p/>
    <w:p/>
    <w:p/>
    <w:p>
      <w:pPr>
        <w:spacing w:after="120"/>
        <w:jc w:val="center"/>
      </w:pPr>
      <w:r>
        <w:rPr>
          <w:rFonts w:ascii="Calibri" w:hAnsi="Calibri"/>
          <w:b/>
          <w:color w:val="00521A"/>
          <w:sz w:val="18"/>
        </w:rPr>
        <w:t>CONFIDENTIAL  ·  INTERNAL DISTRIBUTION</w:t>
      </w:r>
    </w:p>
    <w:p>
      <w:pPr>
        <w:spacing w:after="120"/>
        <w:jc w:val="center"/>
      </w:pPr>
      <w:r>
        <w:rPr>
          <w:rFonts w:ascii="Calibri" w:hAnsi="Calibri"/>
          <w:color w:val="5A6572"/>
          <w:sz w:val="18"/>
        </w:rPr>
        <w:t>© 2026 Analysys  ·  Prepared for the Pakistan Navy</w:t>
      </w:r>
    </w:p>
    <w:p>
      <w:r>
        <w:br w:type="page"/>
      </w:r>
    </w:p>
    <w:p>
      <w:pPr>
        <w:pStyle w:val="Heading1"/>
        <w:spacing w:before="240" w:after="120"/>
      </w:pPr>
      <w:r>
        <w:t>1. Executive Summary</w:t>
      </w:r>
    </w:p>
    <w:p>
      <w:pPr>
        <w:spacing w:after="120"/>
      </w:pPr>
      <w:r>
        <w:rPr>
          <w:rFonts w:ascii="Calibri" w:hAnsi="Calibri"/>
        </w:rPr>
        <w:t>This document specifies the recommended production hardware for the Channel Monitoring &amp; Clipping (CMC) platform — the broadcast intelligence system that ingests thirty-two DGPR-approved television channels, records them twenty-four-by-seven for a rolling thirty-day retention window, and drives the operations-room video wall.</w:t>
      </w:r>
    </w:p>
    <w:p>
      <w:pPr>
        <w:spacing w:after="120"/>
      </w:pPr>
      <w:r>
        <w:rPr>
          <w:rFonts w:ascii="Calibri" w:hAnsi="Calibri"/>
        </w:rPr>
        <w:t>The specification is designed for continuous production operation with a built-in fifty per-cent capacity margin — headroom for additional channels, future AI/analytics features, and unplanned peaks in clip-render or archive-playback workload. The proposed configuration will comfortably sustain the current 32-channel line-up while leaving room to grow to 48 channels without further hardware investment.</w:t>
      </w:r>
    </w:p>
    <w:p>
      <w:pPr>
        <w:spacing w:after="120"/>
      </w:pPr>
      <w:r>
        <w:rPr>
          <w:rFonts w:ascii="Calibri" w:hAnsi="Calibri"/>
        </w:rPr>
        <w:t>Two categories of hardware are required: (a) a central server that performs ingest, storage, encoding, and network broadcast, and (b) one or more wall-display PCs that render the multi-tile view to the physical operations-room screen.</w:t>
      </w:r>
    </w:p>
    <w:p>
      <w:pPr>
        <w:pStyle w:val="Heading2"/>
        <w:spacing w:before="240" w:after="120"/>
      </w:pPr>
      <w:r>
        <w:t>1.1  Deployment at a Glance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0B1E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vAlign w:val="center"/>
            <w:shd w:fill="0B1E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35"/>
            <w:vAlign w:val="center"/>
            <w:shd w:fill="0B1E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Recommended Class</w:t>
            </w:r>
          </w:p>
        </w:tc>
      </w:tr>
      <w:tr>
        <w:tc>
          <w:tcPr>
            <w:tcW w:type="dxa" w:w="3135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Central server</w:t>
            </w:r>
          </w:p>
        </w:tc>
        <w:tc>
          <w:tcPr>
            <w:tcW w:type="dxa" w:w="3135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Ingest, recording, clip render, database, web/API, network broadcast, future AI</w:t>
            </w:r>
          </w:p>
        </w:tc>
        <w:tc>
          <w:tcPr>
            <w:tcW w:type="dxa" w:w="3135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Dual-socket 64-core, 256 GB RAM, GPU-accelerated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Video-wall PC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Render 32-channel multi-view to physical operations wall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Modern desktop with Intel UHD 770 iGPU or better</w:t>
            </w:r>
          </w:p>
        </w:tc>
      </w:tr>
      <w:tr>
        <w:tc>
          <w:tcPr>
            <w:tcW w:type="dxa" w:w="3135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Storage subsystem</w:t>
            </w:r>
          </w:p>
        </w:tc>
        <w:tc>
          <w:tcPr>
            <w:tcW w:type="dxa" w:w="3135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30-day rolling recording archive plus hot data for immediate clip creation</w:t>
            </w:r>
          </w:p>
        </w:tc>
        <w:tc>
          <w:tcPr>
            <w:tcW w:type="dxa" w:w="3135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160 TB usable, tiered NVMe + HDD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Networking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Multicast satellite ingest plus network broadcast to viewer PCs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Managed L2 switch with IGMP snooping, 10/25 GbE server uplink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2. Workload Overview</w:t>
      </w:r>
    </w:p>
    <w:p>
      <w:pPr>
        <w:spacing w:after="120"/>
      </w:pPr>
      <w:r>
        <w:rPr>
          <w:rFonts w:ascii="Calibri" w:hAnsi="Calibri"/>
        </w:rPr>
        <w:t>The infrastructure design responds to the following concurrent workloads that must run continuously and without contention:</w:t>
      </w:r>
    </w:p>
    <w:p>
      <w:pPr>
        <w:spacing w:after="120"/>
      </w:pPr>
      <w:r>
        <w:rPr>
          <w:b/>
          <w:color w:val="0B1E3A"/>
        </w:rPr>
        <w:t xml:space="preserve">32-channel UDP ingest. </w:t>
      </w:r>
      <w:r>
        <w:t>Thirty-two H.264/H.265 satellite feeds arrive via UDP multicast from the ground-station receivers, each averaging approximately three megabits per second.</w:t>
      </w:r>
    </w:p>
    <w:p>
      <w:pPr>
        <w:spacing w:after="120"/>
      </w:pPr>
      <w:r>
        <w:rPr>
          <w:b/>
          <w:color w:val="0B1E3A"/>
        </w:rPr>
        <w:t xml:space="preserve">24 × 7 recording. </w:t>
      </w:r>
      <w:r>
        <w:t>Every active channel is written to disk continuously as sixty-second MP4 segments with SHA-256 evidentiary checksums, kept on a thirty-day rolling window.</w:t>
      </w:r>
    </w:p>
    <w:p>
      <w:pPr>
        <w:spacing w:after="120"/>
      </w:pPr>
      <w:r>
        <w:rPr>
          <w:b/>
          <w:color w:val="0B1E3A"/>
        </w:rPr>
        <w:t xml:space="preserve">Live clip creation. </w:t>
      </w:r>
      <w:r>
        <w:t>Operators cut, watermark, and export clips from any past moment within the retention window while recording is in progress — the clip render must not compete with the recorder for I/O bandwidth.</w:t>
      </w:r>
    </w:p>
    <w:p>
      <w:pPr>
        <w:spacing w:after="120"/>
      </w:pPr>
      <w:r>
        <w:rPr>
          <w:b/>
          <w:color w:val="0B1E3A"/>
        </w:rPr>
        <w:t xml:space="preserve">Video-wall display. </w:t>
      </w:r>
      <w:r>
        <w:t>A physical wall in the operations room shows all thirty-two channels simultaneously via a dedicated wall PC that consumes hardware-accelerated decoders on its own GPU. The server does not decode for the wall in the baseline design.</w:t>
      </w:r>
    </w:p>
    <w:p>
      <w:pPr>
        <w:spacing w:after="120"/>
      </w:pPr>
      <w:r>
        <w:rPr>
          <w:b/>
          <w:color w:val="0B1E3A"/>
        </w:rPr>
        <w:t xml:space="preserve">Network broadcast. </w:t>
      </w:r>
      <w:r>
        <w:t>For viewer PCs on the wider network that cannot reach the multicast domain, the server transcodes each channel to a lower-bitrate H.264 variant and re-broadcasts on unicast RTSP — one always-warm transcoder per channel.</w:t>
      </w:r>
    </w:p>
    <w:p>
      <w:pPr>
        <w:spacing w:after="120"/>
      </w:pPr>
      <w:r>
        <w:rPr>
          <w:b/>
          <w:color w:val="0B1E3A"/>
        </w:rPr>
        <w:t xml:space="preserve">Web application. </w:t>
      </w:r>
      <w:r>
        <w:t>The Next.js front-end and Fastify API power operator access to recordings, clips, users, audit logs, and administration.</w:t>
      </w:r>
    </w:p>
    <w:p>
      <w:pPr>
        <w:spacing w:after="120"/>
      </w:pPr>
      <w:r>
        <w:rPr>
          <w:b/>
          <w:color w:val="0B1E3A"/>
        </w:rPr>
        <w:t xml:space="preserve">Future AI / analytics. </w:t>
      </w:r>
      <w:r>
        <w:t>Anticipated features include OCR of on-screen tickers, speech-to-text transcription, face and logo detection, and content indexing for search. These require CPU or GPU compute reserved from day one.</w:t>
      </w:r>
    </w:p>
    <w:p>
      <w:r>
        <w:br w:type="page"/>
      </w:r>
    </w:p>
    <w:p>
      <w:pPr>
        <w:pStyle w:val="Heading1"/>
        <w:spacing w:before="240" w:after="120"/>
      </w:pPr>
      <w:r>
        <w:t>3. Central Server Specification</w:t>
      </w:r>
    </w:p>
    <w:p>
      <w:pPr>
        <w:pStyle w:val="Heading2"/>
        <w:spacing w:before="240" w:after="120"/>
      </w:pPr>
      <w:r>
        <w:t>3.1  Compute (CPU)</w:t>
      </w:r>
    </w:p>
    <w:p>
      <w:pPr>
        <w:spacing w:after="120"/>
      </w:pPr>
      <w:r>
        <w:rPr>
          <w:rFonts w:ascii="Calibri" w:hAnsi="Calibri"/>
        </w:rPr>
        <w:t>Recommended: Dual-socket Intel Xeon Gold 6448Y (Sapphire Rapids) — thirty-two cores per socket for a total of sixty-four physical cores / one-hundred-and-twenty-eight threads at 2.1 GHz base and 4.1 GHz turbo.</w:t>
      </w:r>
    </w:p>
    <w:p>
      <w:pPr>
        <w:spacing w:after="120"/>
      </w:pPr>
      <w:r>
        <w:rPr>
          <w:rFonts w:ascii="Calibri" w:hAnsi="Calibri"/>
          <w:i/>
        </w:rPr>
        <w:t>Cost-effective alternative: Dual AMD EPYC 9354P — same core count, roughly thirty per-cent lower price, higher single-thread clock speed.</w:t>
      </w:r>
    </w:p>
    <w:p>
      <w:pPr>
        <w:spacing w:after="120"/>
      </w:pPr>
      <w:r>
        <w:rPr>
          <w:rFonts w:ascii="Calibri" w:hAnsi="Calibri"/>
          <w:b/>
          <w:sz w:val="22"/>
        </w:rPr>
        <w:t>Core-budget breakdown: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0B1E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Workload</w:t>
            </w:r>
          </w:p>
        </w:tc>
        <w:tc>
          <w:tcPr>
            <w:tcW w:type="dxa" w:w="4703"/>
            <w:vAlign w:val="center"/>
            <w:shd w:fill="0B1E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Cores</w:t>
            </w:r>
          </w:p>
        </w:tc>
      </w:tr>
      <w:tr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32 × ffmpeg recording (source-copy mode, 24 × 7)</w:t>
            </w:r>
          </w:p>
        </w:tc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~ 2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Concurrent clip renders (peak 5 simultaneous exports)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~ 5</w:t>
            </w:r>
          </w:p>
        </w:tc>
      </w:tr>
      <w:tr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Postgres, Redis, Next.js, Fastify API services</w:t>
            </w:r>
          </w:p>
        </w:tc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~ 4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Server-side broadcast to network (32 × H.264 transcode to 720p)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~ 15 – 20</w:t>
            </w:r>
          </w:p>
        </w:tc>
      </w:tr>
      <w:tr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AI and analytics (OCR, transcription, detection — future)</w:t>
            </w:r>
          </w:p>
        </w:tc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~ 15 – 20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50 % capacity margin for growth up to 48 channels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+ 32</w:t>
            </w:r>
          </w:p>
        </w:tc>
      </w:tr>
      <w:tr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TOTAL BUDGET</w:t>
            </w:r>
          </w:p>
        </w:tc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≈ 64 physical cores</w:t>
            </w:r>
          </w:p>
        </w:tc>
      </w:tr>
    </w:tbl>
    <w:p>
      <w:pPr>
        <w:pStyle w:val="Heading2"/>
        <w:spacing w:before="240" w:after="120"/>
      </w:pPr>
      <w:r>
        <w:t>3.2  Memory (RAM)</w:t>
      </w:r>
    </w:p>
    <w:p>
      <w:pPr>
        <w:spacing w:after="120"/>
      </w:pPr>
      <w:r>
        <w:rPr>
          <w:rFonts w:ascii="Calibri" w:hAnsi="Calibri"/>
        </w:rPr>
        <w:t>Recommended: 256 GB DDR5-4800 ECC Registered, populated across all channels for maximum bandwidth.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0B1E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vAlign w:val="center"/>
            <w:shd w:fill="0B1E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Allocation</w:t>
            </w:r>
          </w:p>
        </w:tc>
      </w:tr>
      <w:tr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Postgres (database + shared cache)</w:t>
            </w:r>
          </w:p>
        </w:tc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32 GB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Redis (in-memory pipeline state)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8 GB</w:t>
            </w:r>
          </w:p>
        </w:tc>
      </w:tr>
      <w:tr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Node.js services (API + web + workers)</w:t>
            </w:r>
          </w:p>
        </w:tc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16 GB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ffmpeg processes (32 recorders + clip renders)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8 GB</w:t>
            </w:r>
          </w:p>
        </w:tc>
      </w:tr>
      <w:tr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OS filesystem cache (accelerates archive playback)</w:t>
            </w:r>
          </w:p>
        </w:tc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64 GB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AI / ML model workspace (future)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64 GB</w:t>
            </w:r>
          </w:p>
        </w:tc>
      </w:tr>
      <w:tr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50 % headroom</w:t>
            </w:r>
          </w:p>
        </w:tc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64 GB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TOTAL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256 GB</w:t>
            </w:r>
          </w:p>
        </w:tc>
      </w:tr>
    </w:tbl>
    <w:p>
      <w:pPr>
        <w:pStyle w:val="Heading2"/>
        <w:spacing w:before="240" w:after="120"/>
      </w:pPr>
      <w:r>
        <w:t>3.3  GPU (Video Broadcast and AI Acceleration)</w:t>
      </w:r>
    </w:p>
    <w:p>
      <w:pPr>
        <w:spacing w:after="120"/>
      </w:pPr>
      <w:r>
        <w:rPr>
          <w:rFonts w:ascii="Calibri" w:hAnsi="Calibri"/>
        </w:rPr>
        <w:t>Recommended: NVIDIA L4 — 24 GB, PCIe Gen 4, single-slot, low-profile, seventy-watt passive.</w:t>
      </w:r>
    </w:p>
    <w:p>
      <w:pPr>
        <w:pStyle w:val="ListBullet"/>
        <w:spacing w:after="60"/>
      </w:pPr>
      <w:r>
        <w:t>Eight concurrent NVENC and eight concurrent NVDEC engines handle 32-channel transcode for the network broadcast tier at under ten per-cent GPU utilisation.</w:t>
      </w:r>
    </w:p>
    <w:p>
      <w:pPr>
        <w:pStyle w:val="ListBullet"/>
        <w:spacing w:after="60"/>
      </w:pPr>
      <w:r>
        <w:t>7,680 CUDA cores accelerate future AI inference (OCR, transcription, detection) without CPU contention.</w:t>
      </w:r>
    </w:p>
    <w:p>
      <w:pPr>
        <w:pStyle w:val="ListBullet"/>
        <w:spacing w:after="60"/>
      </w:pPr>
      <w:r>
        <w:t>Passive cooling and low profile allow use in any 2U server chassis with airflow.</w:t>
      </w:r>
    </w:p>
    <w:p>
      <w:pPr>
        <w:spacing w:after="120"/>
      </w:pPr>
      <w:r>
        <w:rPr>
          <w:rFonts w:ascii="Calibri" w:hAnsi="Calibri"/>
          <w:i/>
        </w:rPr>
        <w:t>Budget alternative: NVIDIA T400 or Intel Arc A310 (~ ₹15,000 – ₹18,000) — sufficient for broadcast transcode alone, insufficient for AI workloads.</w:t>
      </w:r>
    </w:p>
    <w:p>
      <w:pPr>
        <w:pStyle w:val="Heading2"/>
        <w:spacing w:before="240" w:after="120"/>
      </w:pPr>
      <w:r>
        <w:t>3.4  Storage Architecture</w:t>
      </w:r>
    </w:p>
    <w:p>
      <w:pPr>
        <w:spacing w:after="120"/>
      </w:pPr>
      <w:r>
        <w:rPr>
          <w:rFonts w:ascii="Calibri" w:hAnsi="Calibri"/>
        </w:rPr>
        <w:t>A three-tier design places each workload on the storage class that matches its access pattern — hot data on NVMe for latency, bulk archive on high-density HDD for cost per terabyte.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0B1E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351"/>
            <w:vAlign w:val="center"/>
            <w:shd w:fill="0B1E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51"/>
            <w:vAlign w:val="center"/>
            <w:shd w:fill="0B1E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2351"/>
            <w:vAlign w:val="center"/>
            <w:shd w:fill="0B1E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Usable Capacity</w:t>
            </w:r>
          </w:p>
        </w:tc>
      </w:tr>
      <w:tr>
        <w:tc>
          <w:tcPr>
            <w:tcW w:type="dxa" w:w="2351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Boot</w:t>
            </w:r>
          </w:p>
        </w:tc>
        <w:tc>
          <w:tcPr>
            <w:tcW w:type="dxa" w:w="2351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OS, applications, logs</w:t>
            </w:r>
          </w:p>
        </w:tc>
        <w:tc>
          <w:tcPr>
            <w:tcW w:type="dxa" w:w="2351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2 × 1 TB NVMe M.2 · RAID 1 (mirror)</w:t>
            </w:r>
          </w:p>
        </w:tc>
        <w:tc>
          <w:tcPr>
            <w:tcW w:type="dxa" w:w="2351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1 TB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Hot data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Postgres, Redis persistence, last 48 h of recordings, clip working area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 × 4 TB NVMe U.2 · RAID 10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8 TB</w:t>
            </w:r>
          </w:p>
        </w:tc>
      </w:tr>
      <w:tr>
        <w:tc>
          <w:tcPr>
            <w:tcW w:type="dxa" w:w="2351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Bulk archive</w:t>
            </w:r>
          </w:p>
        </w:tc>
        <w:tc>
          <w:tcPr>
            <w:tcW w:type="dxa" w:w="2351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Rolling 30-day recording archive plus exported clips</w:t>
            </w:r>
          </w:p>
        </w:tc>
        <w:tc>
          <w:tcPr>
            <w:tcW w:type="dxa" w:w="2351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12 × 16 TB SATA enterprise HDD (7200 RPM) · RAID 6</w:t>
            </w:r>
          </w:p>
        </w:tc>
        <w:tc>
          <w:tcPr>
            <w:tcW w:type="dxa" w:w="2351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160 TB</w:t>
            </w:r>
          </w:p>
        </w:tc>
      </w:tr>
    </w:tbl>
    <w:p>
      <w:pPr>
        <w:spacing w:after="120"/>
      </w:pPr>
      <w:r>
        <w:rPr>
          <w:rFonts w:ascii="Calibri" w:hAnsi="Calibri"/>
          <w:b/>
          <w:sz w:val="22"/>
        </w:rPr>
        <w:t>Storage capacity justification:</w:t>
      </w:r>
    </w:p>
    <w:p>
      <w:pPr>
        <w:pStyle w:val="ListBullet"/>
        <w:spacing w:after="60"/>
      </w:pPr>
      <w:r>
        <w:t>Source rate ≈ 3 Mbps average per channel = 32.4 GB per day per channel.</w:t>
      </w:r>
    </w:p>
    <w:p>
      <w:pPr>
        <w:pStyle w:val="ListBullet"/>
        <w:spacing w:after="60"/>
      </w:pPr>
      <w:r>
        <w:t>32 channels × 30 days = 31 TB of raw archive footprint.</w:t>
      </w:r>
    </w:p>
    <w:p>
      <w:pPr>
        <w:pStyle w:val="ListBullet"/>
        <w:spacing w:after="60"/>
      </w:pPr>
      <w:r>
        <w:t>160 TB usable gives a headroom multiplier of roughly 5×, protecting against future channel additions and retention-window extensions.</w:t>
      </w:r>
    </w:p>
    <w:p>
      <w:pPr>
        <w:spacing w:after="120"/>
      </w:pPr>
      <w:r>
        <w:rPr>
          <w:rFonts w:ascii="Calibri" w:hAnsi="Calibri"/>
        </w:rPr>
        <w:t>Hardware RAID controller: Broadcom (LSI) MegaRAID 9560-16i — sixteen-port SAS/SATA plus NVMe support, eight-gigabyte battery-backed write cache, hardware parity offload.</w:t>
      </w:r>
    </w:p>
    <w:p>
      <w:pPr>
        <w:pStyle w:val="Heading2"/>
        <w:spacing w:before="240" w:after="120"/>
      </w:pPr>
      <w:r>
        <w:t>3.5  Network</w:t>
      </w:r>
    </w:p>
    <w:p>
      <w:pPr>
        <w:pStyle w:val="ListBullet"/>
        <w:spacing w:after="60"/>
      </w:pPr>
      <w:r>
        <w:t>Two × 25 GbE SFP28 ports bonded LACP — primary satellite ingest and PC network traffic.</w:t>
      </w:r>
    </w:p>
    <w:p>
      <w:pPr>
        <w:pStyle w:val="ListBullet"/>
        <w:spacing w:after="60"/>
      </w:pPr>
      <w:r>
        <w:t>One × 1 GbE — dedicated out-of-band management (iDRAC / IPMI).</w:t>
      </w:r>
    </w:p>
    <w:p>
      <w:pPr>
        <w:pStyle w:val="ListBullet"/>
        <w:spacing w:after="60"/>
      </w:pPr>
      <w:r>
        <w:t>Downstream switch must support IGMP snooping to prevent thirty-two multicast groups from flooding the office network.</w:t>
      </w:r>
    </w:p>
    <w:p>
      <w:pPr>
        <w:pStyle w:val="Heading2"/>
        <w:spacing w:before="240" w:after="120"/>
      </w:pPr>
      <w:r>
        <w:t>3.6  Chassis, Power and Reliability</w:t>
      </w:r>
    </w:p>
    <w:p>
      <w:pPr>
        <w:pStyle w:val="ListBullet"/>
        <w:spacing w:after="60"/>
      </w:pPr>
      <w:r>
        <w:t>2U rack chassis, twelve × 3.5-inch hot-swap drive bays (Dell PowerEdge R760, HPE ProLiant DL380 Gen 11 or Supermicro AS-2015CS class).</w:t>
      </w:r>
    </w:p>
    <w:p>
      <w:pPr>
        <w:pStyle w:val="ListBullet"/>
        <w:spacing w:after="60"/>
      </w:pPr>
      <w:r>
        <w:t>Two redundant, hot-swap 1200 W 80-PLUS Platinum power supplies.</w:t>
      </w:r>
    </w:p>
    <w:p>
      <w:pPr>
        <w:pStyle w:val="ListBullet"/>
        <w:spacing w:after="60"/>
      </w:pPr>
      <w:r>
        <w:t>Front-panel LCD, out-of-band management, hardware Trusted Platform Module (TPM 2.0).</w:t>
      </w:r>
    </w:p>
    <w:p>
      <w:pPr>
        <w:pStyle w:val="ListBullet"/>
        <w:spacing w:after="60"/>
      </w:pPr>
      <w:r>
        <w:t>Rail kit for tool-less installation into a standard 42U rack.</w:t>
      </w:r>
    </w:p>
    <w:p>
      <w:r>
        <w:br w:type="page"/>
      </w:r>
    </w:p>
    <w:p>
      <w:pPr>
        <w:pStyle w:val="Heading1"/>
        <w:spacing w:before="240" w:after="120"/>
      </w:pPr>
      <w:r>
        <w:t>4. Video-Wall PC Specification</w:t>
      </w:r>
    </w:p>
    <w:p>
      <w:pPr>
        <w:spacing w:after="120"/>
      </w:pPr>
      <w:r>
        <w:rPr>
          <w:rFonts w:ascii="Calibri" w:hAnsi="Calibri"/>
        </w:rPr>
        <w:t>The wall-display PC consumes the thirty-two channels directly via multicast and renders them onto the physical operations wall using its integrated or discrete GPU for hardware H.264 / H.265 decoding. A modest modern desktop is sufficient — the operator machine used in initial testing (Intel Core i5-14500 with UHD 770 integrated graphics) handles thirty-two concurrent 1080p decodes at well under twenty per-cent CPU utilisation.</w:t>
      </w:r>
    </w:p>
    <w:p>
      <w:pPr>
        <w:pStyle w:val="Heading2"/>
        <w:spacing w:before="240" w:after="120"/>
      </w:pPr>
      <w:r>
        <w:t>4.1  Recommended Tiers</w:t>
      </w:r>
    </w:p>
    <w:p>
      <w:pPr>
        <w:spacing w:after="120"/>
      </w:pPr>
      <w:r>
        <w:rPr>
          <w:rFonts w:ascii="Calibri" w:hAnsi="Calibri"/>
          <w:b/>
          <w:color w:val="0B1E3A"/>
        </w:rPr>
        <w:t>Tier 1 — Baseline Production (current test PC)</w:t>
      </w:r>
    </w:p>
    <w:p>
      <w:pPr>
        <w:pStyle w:val="ListBullet"/>
        <w:spacing w:after="60"/>
      </w:pPr>
      <w:r>
        <w:t>Intel Core i5-13500 or newer with integrated UHD 770 graphics.</w:t>
      </w:r>
    </w:p>
    <w:p>
      <w:pPr>
        <w:pStyle w:val="ListBullet"/>
        <w:spacing w:after="60"/>
      </w:pPr>
      <w:r>
        <w:t>16 GB DDR4 or DDR5 memory.</w:t>
      </w:r>
    </w:p>
    <w:p>
      <w:pPr>
        <w:pStyle w:val="ListBullet"/>
        <w:spacing w:after="60"/>
      </w:pPr>
      <w:r>
        <w:t>512 GB NVMe solid-state boot drive.</w:t>
      </w:r>
    </w:p>
    <w:p>
      <w:pPr>
        <w:pStyle w:val="ListBullet"/>
        <w:spacing w:after="60"/>
      </w:pPr>
      <w:r>
        <w:t>1 GbE network interface.</w:t>
      </w:r>
    </w:p>
    <w:p>
      <w:pPr>
        <w:pStyle w:val="ListBullet"/>
        <w:spacing w:after="60"/>
      </w:pPr>
      <w:r>
        <w:t>Cost band: approximately ₹80,000 – ₹1,00,000.</w:t>
      </w:r>
    </w:p>
    <w:p>
      <w:pPr>
        <w:spacing w:after="120"/>
      </w:pPr>
      <w:r>
        <w:rPr>
          <w:rFonts w:ascii="Calibri" w:hAnsi="Calibri"/>
          <w:b/>
          <w:color w:val="0B1E3A"/>
        </w:rPr>
        <w:t>Tier 2 — Recommended Production (future-proof)</w:t>
      </w:r>
    </w:p>
    <w:p>
      <w:pPr>
        <w:pStyle w:val="ListBullet"/>
        <w:spacing w:after="60"/>
      </w:pPr>
      <w:r>
        <w:t>Intel Core i7-14700 (14-core / 20-thread) with integrated UHD 770.</w:t>
      </w:r>
    </w:p>
    <w:p>
      <w:pPr>
        <w:pStyle w:val="ListBullet"/>
        <w:spacing w:after="60"/>
      </w:pPr>
      <w:r>
        <w:t>32 GB DDR5-5600 memory.</w:t>
      </w:r>
    </w:p>
    <w:p>
      <w:pPr>
        <w:pStyle w:val="ListBullet"/>
        <w:spacing w:after="60"/>
      </w:pPr>
      <w:r>
        <w:t>1 TB PCIe Gen 4 NVMe boot drive.</w:t>
      </w:r>
    </w:p>
    <w:p>
      <w:pPr>
        <w:pStyle w:val="ListBullet"/>
        <w:spacing w:after="60"/>
      </w:pPr>
      <w:r>
        <w:t>2.5 GbE network interface.</w:t>
      </w:r>
    </w:p>
    <w:p>
      <w:pPr>
        <w:pStyle w:val="ListBullet"/>
        <w:spacing w:after="60"/>
      </w:pPr>
      <w:r>
        <w:t>Native support for four 4K monitors from iGPU.</w:t>
      </w:r>
    </w:p>
    <w:p>
      <w:pPr>
        <w:pStyle w:val="ListBullet"/>
        <w:spacing w:after="60"/>
      </w:pPr>
      <w:r>
        <w:t>Windows 11 Professional.</w:t>
      </w:r>
    </w:p>
    <w:p>
      <w:pPr>
        <w:pStyle w:val="ListBullet"/>
        <w:spacing w:after="60"/>
      </w:pPr>
      <w:r>
        <w:t>Cost band: approximately ₹1,80,000 – ₹2,20,000.</w:t>
      </w:r>
    </w:p>
    <w:p>
      <w:pPr>
        <w:spacing w:after="120"/>
      </w:pPr>
      <w:r>
        <w:rPr>
          <w:rFonts w:ascii="Calibri" w:hAnsi="Calibri"/>
          <w:b/>
          <w:color w:val="0B1E3A"/>
        </w:rPr>
        <w:t>Tier 3 — High-End / Multi-Wall (scaling scenarios)</w:t>
      </w:r>
    </w:p>
    <w:p>
      <w:pPr>
        <w:pStyle w:val="ListBullet"/>
        <w:spacing w:after="60"/>
      </w:pPr>
      <w:r>
        <w:t>Intel Core i9-14900K (24-core / 32-thread).</w:t>
      </w:r>
    </w:p>
    <w:p>
      <w:pPr>
        <w:pStyle w:val="ListBullet"/>
        <w:spacing w:after="60"/>
      </w:pPr>
      <w:r>
        <w:t>Dedicated NVIDIA T400 or A400 (dedicated NVDEC — sixty-plus concurrent 1080p decodes).</w:t>
      </w:r>
    </w:p>
    <w:p>
      <w:pPr>
        <w:pStyle w:val="ListBullet"/>
        <w:spacing w:after="60"/>
      </w:pPr>
      <w:r>
        <w:t>64 GB DDR5 memory.</w:t>
      </w:r>
    </w:p>
    <w:p>
      <w:pPr>
        <w:pStyle w:val="ListBullet"/>
        <w:spacing w:after="60"/>
      </w:pPr>
      <w:r>
        <w:t>2 TB PCIe Gen 4 NVMe boot drive.</w:t>
      </w:r>
    </w:p>
    <w:p>
      <w:pPr>
        <w:pStyle w:val="ListBullet"/>
        <w:spacing w:after="60"/>
      </w:pPr>
      <w:r>
        <w:t>10 GbE network interface.</w:t>
      </w:r>
    </w:p>
    <w:p>
      <w:pPr>
        <w:pStyle w:val="ListBullet"/>
        <w:spacing w:after="60"/>
      </w:pPr>
      <w:r>
        <w:t>Support for multiple video-wall processors and 8K output.</w:t>
      </w:r>
    </w:p>
    <w:p>
      <w:pPr>
        <w:pStyle w:val="ListBullet"/>
        <w:spacing w:after="60"/>
      </w:pPr>
      <w:r>
        <w:t>Cost band: approximately ₹3,50,000 – ₹4,50,000.</w:t>
      </w:r>
    </w:p>
    <w:p>
      <w:r>
        <w:br w:type="page"/>
      </w:r>
    </w:p>
    <w:p>
      <w:pPr>
        <w:pStyle w:val="Heading1"/>
        <w:spacing w:before="240" w:after="120"/>
      </w:pPr>
      <w:r>
        <w:t>5. Network Infrastructure</w:t>
      </w:r>
    </w:p>
    <w:p>
      <w:pPr>
        <w:pStyle w:val="Heading2"/>
        <w:spacing w:before="240" w:after="120"/>
      </w:pPr>
      <w:r>
        <w:t>5.1  Recording LAN</w:t>
      </w:r>
    </w:p>
    <w:p>
      <w:pPr>
        <w:spacing w:after="120"/>
      </w:pPr>
      <w:r>
        <w:rPr>
          <w:rFonts w:ascii="Calibri" w:hAnsi="Calibri"/>
        </w:rPr>
        <w:t>The recording LAN carries satellite multicast traffic between the ground-station receivers, the central server and the wall PC.</w:t>
      </w:r>
    </w:p>
    <w:p>
      <w:pPr>
        <w:pStyle w:val="ListBullet"/>
        <w:spacing w:after="60"/>
      </w:pPr>
      <w:r>
        <w:t>Managed Layer-2 switch with IGMP snooping (Cisco Catalyst 9200/9300 · Aruba 2930 · MikroTik CRS series).</w:t>
      </w:r>
    </w:p>
    <w:p>
      <w:pPr>
        <w:pStyle w:val="ListBullet"/>
        <w:spacing w:after="60"/>
      </w:pPr>
      <w:r>
        <w:t>10 GbE uplink from switch to the central server.</w:t>
      </w:r>
    </w:p>
    <w:p>
      <w:pPr>
        <w:pStyle w:val="ListBullet"/>
        <w:spacing w:after="60"/>
      </w:pPr>
      <w:r>
        <w:t>1 GbE ports for each satellite receiver.</w:t>
      </w:r>
    </w:p>
    <w:p>
      <w:pPr>
        <w:pStyle w:val="ListBullet"/>
        <w:spacing w:after="60"/>
      </w:pPr>
      <w:r>
        <w:t>1 – 2.5 GbE port for the video-wall PC (total multicast traffic ≤ 100 Mbps for 32 concurrent 1080p streams).</w:t>
      </w:r>
    </w:p>
    <w:p>
      <w:pPr>
        <w:pStyle w:val="ListBullet"/>
        <w:spacing w:after="60"/>
      </w:pPr>
      <w:r>
        <w:t>Dedicated VLAN for satellite multicast traffic to prevent flooding of office LAN.</w:t>
      </w:r>
    </w:p>
    <w:p>
      <w:pPr>
        <w:pStyle w:val="Heading2"/>
        <w:spacing w:before="240" w:after="120"/>
      </w:pPr>
      <w:r>
        <w:t>5.2  Broadcast VLAN (optional, for PCs off the recording LAN)</w:t>
      </w:r>
    </w:p>
    <w:p>
      <w:pPr>
        <w:pStyle w:val="ListBullet"/>
        <w:spacing w:after="60"/>
      </w:pPr>
      <w:r>
        <w:t>Server transcodes each channel to a lower-bitrate H.264 variant via GPU (NVIDIA L4).</w:t>
      </w:r>
    </w:p>
    <w:p>
      <w:pPr>
        <w:pStyle w:val="ListBullet"/>
        <w:spacing w:after="60"/>
      </w:pPr>
      <w:r>
        <w:t>Broadcast served via RTSP or HLS unicast to any authenticated PC on the corporate network.</w:t>
      </w:r>
    </w:p>
    <w:p>
      <w:pPr>
        <w:pStyle w:val="ListBullet"/>
        <w:spacing w:after="60"/>
      </w:pPr>
      <w:r>
        <w:t>Bandwidth: approximately 500 Kbps per channel × 32 channels = 16 Mbps per remote viewer.</w:t>
      </w:r>
    </w:p>
    <w:p>
      <w:r>
        <w:br w:type="page"/>
      </w:r>
    </w:p>
    <w:p>
      <w:pPr>
        <w:pStyle w:val="Heading1"/>
        <w:spacing w:before="240" w:after="120"/>
      </w:pPr>
      <w:r>
        <w:t>6. Indicative Cost Summary</w:t>
      </w:r>
    </w:p>
    <w:p>
      <w:pPr>
        <w:spacing w:after="120"/>
      </w:pPr>
      <w:r>
        <w:rPr>
          <w:rFonts w:ascii="Calibri" w:hAnsi="Calibri"/>
        </w:rPr>
        <w:t>Costs are indicative reference figures based on typical Indian market pricing at document date. Client-side sourcing, vendor negotiation, and existing framework agreements will influence the final procurement figures. Software licences (Windows Server, database, etc.) are not included — the platform runs equivalently on Linux (Ubuntu Server LTS or AlmaLinux) with no functional loss.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0B1E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4703"/>
            <w:vAlign w:val="center"/>
            <w:shd w:fill="0B1E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Approx. INR</w:t>
            </w:r>
          </w:p>
        </w:tc>
      </w:tr>
      <w:tr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Server chassis (Dell PowerEdge R760 or equivalent)</w:t>
            </w:r>
          </w:p>
        </w:tc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5,00,000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CPUs — 2 × Intel Xeon Gold 6448Y (or AMD EPYC 9354P × 2)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6,00,000</w:t>
            </w:r>
          </w:p>
        </w:tc>
      </w:tr>
      <w:tr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256 GB DDR5-4800 ECC Registered memory</w:t>
            </w:r>
          </w:p>
        </w:tc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2,00,000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NVIDIA L4 GPU (24 GB PCIe Gen 4)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2,00,000</w:t>
            </w:r>
          </w:p>
        </w:tc>
      </w:tr>
      <w:tr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Boot storage — 2 × 1 TB NVMe M.2</w:t>
            </w:r>
          </w:p>
        </w:tc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30,000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Hot storage — 4 × 4 TB NVMe U.2 (RAID 10)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2,00,000</w:t>
            </w:r>
          </w:p>
        </w:tc>
      </w:tr>
      <w:tr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Bulk archive — 12 × 16 TB enterprise SATA HDD (RAID 6)</w:t>
            </w:r>
          </w:p>
        </w:tc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3,50,000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Broadcom MegaRAID 9560-16i controller + BBU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50,000</w:t>
            </w:r>
          </w:p>
        </w:tc>
      </w:tr>
      <w:tr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Server subtotal</w:t>
            </w:r>
          </w:p>
        </w:tc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≈ 21,30,000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Wall PC — Tier 2 recommended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≈ 2,00,000</w:t>
            </w:r>
          </w:p>
        </w:tc>
      </w:tr>
      <w:tr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Managed switch + rack cabling</w:t>
            </w:r>
          </w:p>
        </w:tc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≈ 1,50,000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 kVA online UPS with 30-minute run-time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≈ 1,00,000</w:t>
            </w:r>
          </w:p>
        </w:tc>
      </w:tr>
      <w:tr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GRAND TOTAL (indicative)</w:t>
            </w:r>
          </w:p>
        </w:tc>
        <w:tc>
          <w:tcPr>
            <w:tcW w:type="dxa" w:w="4703"/>
            <w:vAlign w:val="center"/>
            <w:shd w:fill="F3F3EC"/>
          </w:tcPr>
          <w:p>
            <w:r/>
            <w:r>
              <w:rPr>
                <w:rFonts w:ascii="Calibri" w:hAnsi="Calibri"/>
                <w:b w:val="0"/>
                <w:sz w:val="20"/>
              </w:rPr>
              <w:t>≈ 26,00,000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7. Design Justification</w:t>
      </w:r>
    </w:p>
    <w:p>
      <w:pPr>
        <w:spacing w:after="120"/>
      </w:pPr>
      <w:r>
        <w:rPr>
          <w:rFonts w:ascii="Calibri" w:hAnsi="Calibri"/>
        </w:rPr>
        <w:t>This section explains the reasoning behind each major choice and why cheaper alternatives were not recommended — anticipating the questions the client will ask during review.</w:t>
      </w:r>
    </w:p>
    <w:p>
      <w:pPr>
        <w:spacing w:after="160"/>
      </w:pPr>
      <w:r>
        <w:rPr>
          <w:b/>
          <w:color w:val="0B1E3A"/>
        </w:rPr>
        <w:t xml:space="preserve">Sixty-four physical cores. </w:t>
      </w:r>
      <w:r>
        <w:t>A dual-socket 64-core system handles the 32-channel recorder and clip-render workload today, absorbs the network broadcast transcoding tier, and reserves half its capacity for the AI/analytics features scheduled for phase two. A smaller CPU forecloses those features and forces a hardware refresh before their release.</w:t>
      </w:r>
    </w:p>
    <w:p>
      <w:pPr>
        <w:spacing w:after="160"/>
      </w:pPr>
      <w:r>
        <w:rPr>
          <w:b/>
          <w:color w:val="0B1E3A"/>
        </w:rPr>
        <w:t xml:space="preserve">256 GB of RAM. </w:t>
      </w:r>
      <w:r>
        <w:t>The dominant memory consumer is the OS filesystem cache — its size determines how fast operators can browse and play back historical recordings. Under-provisioning at this line item degrades the daily user experience in the most visible workflow. AI models in the phase-two roadmap require an additional 40 – 60 GB of RAM at inference time.</w:t>
      </w:r>
    </w:p>
    <w:p>
      <w:pPr>
        <w:spacing w:after="160"/>
      </w:pPr>
      <w:r>
        <w:rPr>
          <w:b/>
          <w:color w:val="0B1E3A"/>
        </w:rPr>
        <w:t xml:space="preserve">NVIDIA L4 GPU. </w:t>
      </w:r>
      <w:r>
        <w:t>The GPU is what makes network broadcast to remote PCs feasible without doubling the CPU count. It also unlocks the AI roadmap without further capital investment. Without a GPU, remote consumption of the wall is either impossible or restricted to a handful of concurrent viewers.</w:t>
      </w:r>
    </w:p>
    <w:p>
      <w:pPr>
        <w:spacing w:after="160"/>
      </w:pPr>
      <w:r>
        <w:rPr>
          <w:b/>
          <w:color w:val="0B1E3A"/>
        </w:rPr>
        <w:t xml:space="preserve">160 TB of usable storage. </w:t>
      </w:r>
      <w:r>
        <w:t>Broadcast recordings are irreplaceable — a segment lost is a segment lost. Provisioning for 30 days at present channel count with a 5× multiplier absorbs future channel additions and any decision to extend retention beyond thirty days. RAID 6 with dual-drive fault tolerance protects against the specific failure mode most common in bulk HDD arrays: a rebuild-time second-drive failure.</w:t>
      </w:r>
    </w:p>
    <w:p>
      <w:pPr>
        <w:spacing w:after="160"/>
      </w:pPr>
      <w:r>
        <w:rPr>
          <w:b/>
          <w:color w:val="0B1E3A"/>
        </w:rPr>
        <w:t xml:space="preserve">Redundant power and 25 GbE networking. </w:t>
      </w:r>
      <w:r>
        <w:t>24 × 7 continuous ingest cannot tolerate single-power-supply failure. 25 GbE at the server uplink provides headroom for 4K stream support the industry is moving to, without a switch replacement in the medium term.</w:t>
      </w:r>
    </w:p>
    <w:p>
      <w:r>
        <w:br w:type="page"/>
      </w:r>
    </w:p>
    <w:p>
      <w:pPr>
        <w:pStyle w:val="Heading1"/>
        <w:spacing w:before="240" w:after="120"/>
      </w:pPr>
      <w:r>
        <w:t>8. Future Considerations</w:t>
      </w:r>
    </w:p>
    <w:p>
      <w:pPr>
        <w:pStyle w:val="ListBullet"/>
        <w:spacing w:after="60"/>
      </w:pPr>
      <w:r>
        <w:t>Doubling channel count to 64 requires only a proportional storage expansion — CPU and RAM headroom already accommodates it.</w:t>
      </w:r>
    </w:p>
    <w:p>
      <w:pPr>
        <w:pStyle w:val="ListBullet"/>
        <w:spacing w:after="60"/>
      </w:pPr>
      <w:r>
        <w:t>Adding a second physical wall in another operations room requires an additional Tier-2 or Tier-3 wall PC only; the central server is unaffected.</w:t>
      </w:r>
    </w:p>
    <w:p>
      <w:pPr>
        <w:pStyle w:val="ListBullet"/>
        <w:spacing w:after="60"/>
      </w:pPr>
      <w:r>
        <w:t>AI features (OCR ticker capture, speech-to-text transcription, face and logo recognition) are enabled by the GPU line item in the recommended specification. No additional hardware is required for phase-two feature rollout.</w:t>
      </w:r>
    </w:p>
    <w:p>
      <w:pPr>
        <w:pStyle w:val="ListBullet"/>
        <w:spacing w:after="60"/>
      </w:pPr>
      <w:r>
        <w:t>Hot / cold storage tiering can be introduced later with additional HDD shelves, extending retention beyond thirty days on the same chassis.</w:t>
      </w:r>
    </w:p>
    <w:p>
      <w:pPr>
        <w:pStyle w:val="ListBullet"/>
        <w:spacing w:after="60"/>
      </w:pPr>
      <w:r>
        <w:t>Off-site backup of the daily recording manifest (SHA-256 checksums plus segment metadata) is a low-cost addition (few tens of megabytes per day) that materially strengthens the evidentiary chain.</w:t>
      </w:r>
    </w:p>
    <w:p>
      <w:pPr>
        <w:pStyle w:val="Heading1"/>
        <w:spacing w:before="240" w:after="120"/>
      </w:pPr>
      <w:r>
        <w:t>9. Contact and Follow-Up</w:t>
      </w:r>
    </w:p>
    <w:p>
      <w:pPr>
        <w:spacing w:after="120"/>
      </w:pPr>
      <w:r>
        <w:rPr>
          <w:rFonts w:ascii="Calibri" w:hAnsi="Calibri"/>
        </w:rPr>
        <w:t>Analysys will support the tender and procurement process, review vendor quotations against this specification, and confirm hardware compatibility before purchase. Deployment and commissioning services are covered under a separate statement of work.</w:t>
      </w:r>
    </w:p>
    <w:p>
      <w:pPr>
        <w:spacing w:after="120"/>
      </w:pPr>
      <w:r>
        <w:rPr>
          <w:rFonts w:ascii="Calibri" w:hAnsi="Calibri"/>
          <w:i/>
          <w:color w:val="5A6572"/>
        </w:rPr>
        <w:t>For clarifications, please contact your Analysys account manager.</w:t>
      </w:r>
    </w:p>
    <w:p/>
    <w:p>
      <w:pPr>
        <w:spacing w:after="80"/>
        <w:jc w:val="center"/>
      </w:pPr>
      <w:r>
        <w:rPr>
          <w:color w:val="8FA096"/>
          <w:sz w:val="18"/>
        </w:rPr>
        <w:t>———————————————————————</w:t>
      </w:r>
    </w:p>
    <w:p>
      <w:pPr>
        <w:spacing w:after="120"/>
        <w:jc w:val="center"/>
      </w:pPr>
      <w:r>
        <w:rPr>
          <w:rFonts w:ascii="Calibri" w:hAnsi="Calibri"/>
          <w:i/>
          <w:color w:val="5A6572"/>
          <w:sz w:val="18"/>
        </w:rPr>
        <w:t>End of Document · CMC Production Infrastructure Specification v1.0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1E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1E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1E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