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BF46" w14:textId="77777777" w:rsidR="00152F52" w:rsidRDefault="00000000">
      <w:pPr>
        <w:spacing w:after="40"/>
        <w:jc w:val="center"/>
      </w:pPr>
      <w:r>
        <w:rPr>
          <w:b/>
          <w:bCs/>
          <w:color w:val="1B3A5F"/>
          <w:sz w:val="26"/>
          <w:szCs w:val="26"/>
        </w:rPr>
        <w:t>BesTel Communications (Pvt) Ltd.</w:t>
      </w:r>
    </w:p>
    <w:p w14:paraId="78E3ADC1" w14:textId="77777777" w:rsidR="00152F52" w:rsidRDefault="00000000">
      <w:pPr>
        <w:pBdr>
          <w:bottom w:val="single" w:sz="12" w:space="6" w:color="5BA832"/>
        </w:pBdr>
        <w:spacing w:after="200"/>
        <w:jc w:val="center"/>
      </w:pPr>
      <w:r>
        <w:rPr>
          <w:color w:val="555555"/>
          <w:sz w:val="16"/>
          <w:szCs w:val="16"/>
        </w:rPr>
        <w:t>Pakistan | USA | KSA | UK | Spain  •  www.bestel.tech</w:t>
      </w:r>
    </w:p>
    <w:p w14:paraId="518DB056" w14:textId="77777777" w:rsidR="00152F52" w:rsidRDefault="00000000">
      <w:pPr>
        <w:spacing w:before="120" w:after="60"/>
        <w:jc w:val="center"/>
      </w:pPr>
      <w:r>
        <w:rPr>
          <w:b/>
          <w:bCs/>
          <w:color w:val="1B3A5F"/>
          <w:sz w:val="30"/>
          <w:szCs w:val="30"/>
        </w:rPr>
        <w:t>TECHNICAL WRITE-UP &amp; HIGH-LEVEL SYSTEM ARCHITECTURE</w:t>
      </w:r>
    </w:p>
    <w:p w14:paraId="43B2AA62" w14:textId="77777777" w:rsidR="00152F52" w:rsidRDefault="00000000">
      <w:pPr>
        <w:spacing w:after="60"/>
        <w:jc w:val="center"/>
      </w:pPr>
      <w:r>
        <w:rPr>
          <w:b/>
          <w:bCs/>
          <w:color w:val="1B3A5F"/>
          <w:sz w:val="22"/>
          <w:szCs w:val="22"/>
        </w:rPr>
        <w:t>PSDP Project — Central Monitoring Unit (CMU) for IPTV Streams of 124 Channels</w:t>
      </w:r>
    </w:p>
    <w:p w14:paraId="383F54F5" w14:textId="77777777" w:rsidR="00152F52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Acquisition • Encoding / Storage • API Exposure • Security • Scalability • Redundancy • 24×7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52F52" w14:paraId="7F58C6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AB0F4C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000000"/>
              </w:rPr>
              <w:t>Tender Reference</w:t>
            </w:r>
          </w:p>
        </w:tc>
        <w:tc>
          <w:tcPr>
            <w:tcW w:w="624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6BDB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P28901</w:t>
            </w:r>
          </w:p>
        </w:tc>
      </w:tr>
      <w:tr w:rsidR="00152F52" w14:paraId="5296D3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634E5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000000"/>
              </w:rPr>
              <w:t>Clarification Reference</w:t>
            </w:r>
          </w:p>
        </w:tc>
        <w:tc>
          <w:tcPr>
            <w:tcW w:w="624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7D9AE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F. No. 10-02/2022-E/PT, dated 2nd June 2026 — Item (v)</w:t>
            </w:r>
          </w:p>
        </w:tc>
      </w:tr>
      <w:tr w:rsidR="00152F52" w14:paraId="4E7DCD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42C000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000000"/>
              </w:rPr>
              <w:t>Procuring Agency</w:t>
            </w:r>
          </w:p>
        </w:tc>
        <w:tc>
          <w:tcPr>
            <w:tcW w:w="624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CB663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Directorate of Electronic Media &amp; Publications (DEMP), Ministry of Information &amp; Broadcasting, Government of Pakistan</w:t>
            </w:r>
          </w:p>
        </w:tc>
      </w:tr>
      <w:tr w:rsidR="00152F52" w14:paraId="6303EF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41AA06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000000"/>
              </w:rPr>
              <w:t>Submitted by</w:t>
            </w:r>
          </w:p>
        </w:tc>
        <w:tc>
          <w:tcPr>
            <w:tcW w:w="624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4920E" w14:textId="497C1CF6" w:rsidR="00152F52" w:rsidRDefault="00000000">
            <w:pPr>
              <w:spacing w:line="252" w:lineRule="auto"/>
            </w:pPr>
            <w:r>
              <w:rPr>
                <w:color w:val="000000"/>
              </w:rPr>
              <w:t xml:space="preserve">BesTel Communications (Pvt) Ltd., </w:t>
            </w:r>
            <w:r w:rsidR="00257A9C">
              <w:rPr>
                <w:color w:val="000000"/>
              </w:rPr>
              <w:t>Walton Road, Lahore, Punjab</w:t>
            </w:r>
          </w:p>
        </w:tc>
      </w:tr>
      <w:tr w:rsidR="00152F52" w14:paraId="350680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3D867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000000"/>
              </w:rPr>
              <w:t>Platform</w:t>
            </w:r>
          </w:p>
        </w:tc>
        <w:tc>
          <w:tcPr>
            <w:tcW w:w="624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1B916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Analysys — BesTel in-house IPTV Intelligence Platform (analysys.tech)</w:t>
            </w:r>
          </w:p>
        </w:tc>
      </w:tr>
      <w:tr w:rsidR="00152F52" w14:paraId="22EF5A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85EDB0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000000"/>
              </w:rPr>
              <w:t>Document Date</w:t>
            </w:r>
          </w:p>
        </w:tc>
        <w:tc>
          <w:tcPr>
            <w:tcW w:w="624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FC4BA9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3rd June 2026</w:t>
            </w:r>
          </w:p>
        </w:tc>
      </w:tr>
    </w:tbl>
    <w:p w14:paraId="53662A82" w14:textId="77777777" w:rsidR="00152F52" w:rsidRDefault="00000000">
      <w:r>
        <w:br w:type="page"/>
      </w:r>
    </w:p>
    <w:p w14:paraId="11798E3A" w14:textId="77777777" w:rsidR="00152F52" w:rsidRDefault="00000000">
      <w:pPr>
        <w:pStyle w:val="Heading1"/>
      </w:pPr>
      <w:r>
        <w:lastRenderedPageBreak/>
        <w:t>1.  Purpose &amp; Scope of this Document</w:t>
      </w:r>
    </w:p>
    <w:p w14:paraId="7F52081B" w14:textId="77777777" w:rsidR="00152F52" w:rsidRDefault="00000000">
      <w:pPr>
        <w:spacing w:after="120" w:line="276" w:lineRule="auto"/>
        <w:jc w:val="both"/>
      </w:pPr>
      <w:r>
        <w:t>This technical write-up is submitted in response to clarification item (v) of the Procuring Agency’s letter F. No. 10-02/2022-E/PT dated 2nd June 2026, which requests “a technical write-up / high-level system architecture and methodology for the CMU IPTV streaming and API exposure, covering acquisition, encoding/storage, security, scalability, redundancy and 24/7 operations.”</w:t>
      </w:r>
    </w:p>
    <w:p w14:paraId="090DE720" w14:textId="77777777" w:rsidR="00152F52" w:rsidRDefault="00000000">
      <w:pPr>
        <w:spacing w:after="120" w:line="276" w:lineRule="auto"/>
        <w:jc w:val="both"/>
      </w:pPr>
      <w:r>
        <w:t xml:space="preserve">The architecture presented here is </w:t>
      </w:r>
      <w:r>
        <w:rPr>
          <w:b/>
          <w:bCs/>
        </w:rPr>
        <w:t>not theoretical</w:t>
      </w:r>
      <w:r>
        <w:t>. It is a direct evolution of Analysys — BesTel’s production IPTV intelligence platform — which is already operating at parallel scale (125+ channels) for a Government of Pakistan client, and was first delivered to DEMP itself in 2014–15. The parameters, protocols and operating procedures stated below reflect the in-production stack (FFmpeg + MediaMTX + hls.js + MongoDB), which materially reduces delivery risk and shortens time-to-go-live.</w:t>
      </w:r>
    </w:p>
    <w:p w14:paraId="75687F14" w14:textId="77777777" w:rsidR="00152F52" w:rsidRDefault="00000000">
      <w:pPr>
        <w:spacing w:after="120" w:line="276" w:lineRule="auto"/>
        <w:jc w:val="both"/>
      </w:pPr>
      <w:r>
        <w:t>The document is organised against the exact sub-criteria DEMP has asked us to address, so each requirement can be located and scored without ambiguity:</w:t>
      </w:r>
    </w:p>
    <w:p w14:paraId="44E014E8" w14:textId="77777777" w:rsidR="00152F52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Solution methodology and design principles (Section 2)</w:t>
      </w:r>
    </w:p>
    <w:p w14:paraId="638EDED2" w14:textId="77777777" w:rsidR="00152F52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IPTV acquisition modes (Section 3)</w:t>
      </w:r>
    </w:p>
    <w:p w14:paraId="7B07169F" w14:textId="77777777" w:rsidR="00152F52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Encoding / transcoding and storage (Section 4)</w:t>
      </w:r>
    </w:p>
    <w:p w14:paraId="59FBC706" w14:textId="77777777" w:rsidR="00152F52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High-level CMU architecture and end-to-end data flow (Section 5)</w:t>
      </w:r>
    </w:p>
    <w:p w14:paraId="2B0F155C" w14:textId="77777777" w:rsidR="00152F52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Secure REST API exposure and the video wall (Section 6)</w:t>
      </w:r>
    </w:p>
    <w:p w14:paraId="7CB33EA3" w14:textId="77777777" w:rsidR="00152F52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Security — defence-in-depth (Section 7)</w:t>
      </w:r>
    </w:p>
    <w:p w14:paraId="0376F9B7" w14:textId="77777777" w:rsidR="00152F52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Scalability (Section 8)</w:t>
      </w:r>
    </w:p>
    <w:p w14:paraId="065696C2" w14:textId="77777777" w:rsidR="00152F52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Redundancy and disaster recovery (Section 9)</w:t>
      </w:r>
    </w:p>
    <w:p w14:paraId="42E24992" w14:textId="77777777" w:rsidR="00152F52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24×7 operations, SLA and incident management (Section 10)</w:t>
      </w:r>
    </w:p>
    <w:p w14:paraId="7E2D4F9C" w14:textId="77777777" w:rsidR="00152F52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Standards compliance and implementation methodology (Sections 11–12)</w:t>
      </w:r>
    </w:p>
    <w:p w14:paraId="2B541141" w14:textId="77777777" w:rsidR="00152F52" w:rsidRDefault="00000000">
      <w:pPr>
        <w:pStyle w:val="Heading1"/>
      </w:pPr>
      <w:r>
        <w:t>2.  Solution Methodology &amp; Design Principles</w:t>
      </w:r>
    </w:p>
    <w:p w14:paraId="5326AE93" w14:textId="77777777" w:rsidR="00152F52" w:rsidRDefault="00000000">
      <w:pPr>
        <w:spacing w:after="120" w:line="276" w:lineRule="auto"/>
        <w:jc w:val="both"/>
      </w:pPr>
      <w:r>
        <w:t>The CMU is designed as a centralized facility that continuously ingests licensed feeds of 124 national and international channels, transcodes them to standards-based renditions, and exposes both the live streams and their metadata as secure, documented REST APIs for onward consumption by the Ministry’s AI-enabled monitoring and analytics applications. The platform runs 24×7 with redundancy, disaster recovery and measurable service levels.</w:t>
      </w:r>
    </w:p>
    <w:p w14:paraId="0E040D94" w14:textId="77777777" w:rsidR="00152F52" w:rsidRDefault="00000000">
      <w:pPr>
        <w:spacing w:after="120" w:line="276" w:lineRule="auto"/>
        <w:jc w:val="both"/>
      </w:pPr>
      <w:r>
        <w:t>The design is governed by six non-negotiable principles, each of which is reflected in DEMP’s RFP:</w:t>
      </w:r>
    </w:p>
    <w:p w14:paraId="4C89A7E1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Carrier-grade resilience</w:t>
      </w:r>
      <w:r>
        <w:t xml:space="preserve"> — a minimum of three (3) independent acquisition sources per channel with automatic, sub-2-second failover and full audit logging.</w:t>
      </w:r>
    </w:p>
    <w:p w14:paraId="57FA36A8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Standards-first delivery</w:t>
      </w:r>
      <w:r>
        <w:t xml:space="preserve"> — MPEG-TS over IP, RTP/RTSP, RTMP and HLS for ingest and onward delivery; ABR transcoding for multi-bitrate distribution; zero proprietary lock-in.</w:t>
      </w:r>
    </w:p>
    <w:p w14:paraId="350FB5A8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Secure, API-first exposure</w:t>
      </w:r>
      <w:r>
        <w:t xml:space="preserve"> — OAuth 2.0 / JWT-secured REST endpoints with fine-grained authorization, rate-limiting and complete audit trails; every platform function is reachable through the API, not locked inside the UI.</w:t>
      </w:r>
    </w:p>
    <w:p w14:paraId="36B8B3B7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Browser-native operations</w:t>
      </w:r>
      <w:r>
        <w:t xml:space="preserve"> — a multi-layout video wall with six or more configurable layouts, accessible from any modern browser without proprietary client software.</w:t>
      </w:r>
    </w:p>
    <w:p w14:paraId="66D34A78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lastRenderedPageBreak/>
        <w:t>Deployment flexibility</w:t>
      </w:r>
      <w:r>
        <w:t xml:space="preserve"> — the identical platform can be delivered on-premise at the CMU data centre, as a fully-managed SaaS (zero hardware from DEMP), or hybrid, without architectural change.</w:t>
      </w:r>
    </w:p>
    <w:p w14:paraId="52DCD960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Horizontal scalability</w:t>
      </w:r>
      <w:r>
        <w:t xml:space="preserve"> — every tier scales out independently; capacity headroom for channels beyond 124 is built into the initial sizing.</w:t>
      </w:r>
    </w:p>
    <w:p w14:paraId="7D8C1468" w14:textId="77777777" w:rsidR="00152F52" w:rsidRDefault="00000000">
      <w:pPr>
        <w:spacing w:after="120" w:line="276" w:lineRule="auto"/>
        <w:jc w:val="both"/>
      </w:pPr>
      <w:r>
        <w:t>Delivery follows an Agile / milestone-gated methodology: a fifteen (15) calendar-day core deployment cycle to operational go-live, followed by a fifteen (15) day stabilization and acceptance period, then continuous operations and 24×7 support for the full contract tenure.</w:t>
      </w:r>
    </w:p>
    <w:p w14:paraId="01F7E680" w14:textId="77777777" w:rsidR="00152F52" w:rsidRDefault="00000000">
      <w:pPr>
        <w:pStyle w:val="Heading1"/>
      </w:pPr>
      <w:r>
        <w:t>3.  IPTV Acquisition Modes</w:t>
      </w:r>
    </w:p>
    <w:p w14:paraId="1E5274C6" w14:textId="77777777" w:rsidR="00152F52" w:rsidRDefault="00000000">
      <w:pPr>
        <w:spacing w:after="120" w:line="276" w:lineRule="auto"/>
        <w:jc w:val="both"/>
      </w:pPr>
      <w:r>
        <w:t xml:space="preserve">Acquisition is </w:t>
      </w:r>
      <w:r>
        <w:rPr>
          <w:b/>
          <w:bCs/>
        </w:rPr>
        <w:t>hybrid by default</w:t>
      </w:r>
      <w:r>
        <w:t xml:space="preserve"> — the platform never depends on any single bearer technology. Each of the 124 channels is provisioned with at least three independent sources drawn from the following modes: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60"/>
        <w:gridCol w:w="2400"/>
      </w:tblGrid>
      <w:tr w:rsidR="00152F52" w14:paraId="5F9623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69337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Acquisition Mode</w:t>
            </w:r>
          </w:p>
        </w:tc>
        <w:tc>
          <w:tcPr>
            <w:tcW w:w="4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A9A2C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940C2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Output / Notes</w:t>
            </w:r>
          </w:p>
        </w:tc>
      </w:tr>
      <w:tr w:rsidR="00152F52" w14:paraId="7110A7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7A7669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IP / Multicast</w:t>
            </w:r>
          </w:p>
        </w:tc>
        <w:tc>
          <w:tcPr>
            <w:tcW w:w="4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D88D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MPEG-TS over UDP/RTP multicast from telco aggregation networks, via dual-NIC ingest servers</w:t>
            </w:r>
          </w:p>
        </w:tc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167844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IGMPv3 join, redundant paths</w:t>
            </w:r>
          </w:p>
        </w:tc>
      </w:tr>
      <w:tr w:rsidR="00152F52" w14:paraId="43F19A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077E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RTMP / RTSP Push</w:t>
            </w:r>
          </w:p>
        </w:tc>
        <w:tc>
          <w:tcPr>
            <w:tcW w:w="4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44429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For rights-holder push uplinks rather than pulls</w:t>
            </w:r>
          </w:p>
        </w:tc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7CD08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Encoder/IP-camera uplinks</w:t>
            </w:r>
          </w:p>
        </w:tc>
      </w:tr>
      <w:tr w:rsidR="00152F52" w14:paraId="049DE7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99DD9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OTT / HLS Pull</w:t>
            </w:r>
          </w:p>
        </w:tc>
        <w:tc>
          <w:tcPr>
            <w:tcW w:w="4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9643A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Licensed OTT or partner HLS origins</w:t>
            </w:r>
          </w:p>
        </w:tc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6C91B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Secondary/tertiary source</w:t>
            </w:r>
          </w:p>
        </w:tc>
      </w:tr>
    </w:tbl>
    <w:p w14:paraId="38D838A2" w14:textId="77777777" w:rsidR="00152F52" w:rsidRDefault="00152F52">
      <w:pPr>
        <w:spacing w:after="60"/>
      </w:pPr>
    </w:p>
    <w:p w14:paraId="5A017325" w14:textId="77777777" w:rsidR="00152F52" w:rsidRDefault="00000000">
      <w:pPr>
        <w:spacing w:after="120" w:line="276" w:lineRule="auto"/>
        <w:jc w:val="both"/>
      </w:pPr>
      <w:r>
        <w:t xml:space="preserve">BesTel has collaborated with </w:t>
      </w:r>
      <w:r>
        <w:rPr>
          <w:b/>
          <w:bCs/>
        </w:rPr>
        <w:t>KK Networks (Pvt) Ltd.</w:t>
      </w:r>
      <w:r>
        <w:t xml:space="preserve"> — a nationwide FTTH/IPTV provider with infrastructure across all 14 telecom regions of Pakistan — to provide carrier-grade source diversity, last-mile redundancy and on-ground support. Additional licensed streams are sourced from other IPTV providers (and, where licensed, PTCL / Nayatel), so that the three-source rule per channel is satisfied from genuinely independent paths.</w:t>
      </w:r>
    </w:p>
    <w:p w14:paraId="04AB398C" w14:textId="77777777" w:rsidR="00152F52" w:rsidRDefault="00000000">
      <w:pPr>
        <w:pStyle w:val="Heading1"/>
      </w:pPr>
      <w:r>
        <w:t>4.  Encoding / Transcoding &amp; Storage</w:t>
      </w:r>
    </w:p>
    <w:p w14:paraId="37CB60F0" w14:textId="77777777" w:rsidR="00152F52" w:rsidRDefault="00000000">
      <w:pPr>
        <w:pStyle w:val="Heading2"/>
      </w:pPr>
      <w:r>
        <w:t>4.1  Encoding / Transcoding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52F52" w14:paraId="51195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2B00E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8CCE5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Specification</w:t>
            </w:r>
          </w:p>
        </w:tc>
      </w:tr>
      <w:tr w:rsidR="00152F52" w14:paraId="207B96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FD161A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Video codec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45B69E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H.264 (libx264), ultrafast preset + low-latency tuning; H.265/HEVC where downstream consumers support it</w:t>
            </w:r>
          </w:p>
        </w:tc>
      </w:tr>
      <w:tr w:rsidR="00152F52" w14:paraId="1F2156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513FEC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Audio codec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E13FC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AAC-LC, dual channel, 128 kbps default</w:t>
            </w:r>
          </w:p>
        </w:tc>
      </w:tr>
      <w:tr w:rsidR="00152F52" w14:paraId="7D1F1D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E8AE9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ABR ladder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406A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1080p @ 4 Mbps / 720p @ 2.5 Mbps / 480p @ 1 Mbps — configurable per channel</w:t>
            </w:r>
          </w:p>
        </w:tc>
      </w:tr>
      <w:tr w:rsidR="00152F52" w14:paraId="646E06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18354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Segment length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080329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4-second HLS segments (configurable down to 2 s for low-latency profiles)</w:t>
            </w:r>
          </w:p>
        </w:tc>
      </w:tr>
      <w:tr w:rsidR="00152F52" w14:paraId="7D88D0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E5872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Hardware acceleration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3ED0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Optional NVIDIA NVENC / Intel Quick Sync for higher channel density per encoder node</w:t>
            </w:r>
          </w:p>
        </w:tc>
      </w:tr>
      <w:tr w:rsidR="00152F52" w14:paraId="3E3952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CF592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lastRenderedPageBreak/>
              <w:t>Output formats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5876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HLS, RTMP, MPEG-TS, and optionally Low-Latency HLS (LL-HLS) / LL-DASH</w:t>
            </w:r>
          </w:p>
        </w:tc>
      </w:tr>
    </w:tbl>
    <w:p w14:paraId="382FA238" w14:textId="77777777" w:rsidR="00152F52" w:rsidRDefault="00152F52">
      <w:pPr>
        <w:spacing w:after="60"/>
      </w:pPr>
    </w:p>
    <w:p w14:paraId="166F20CD" w14:textId="77777777" w:rsidR="00152F52" w:rsidRDefault="00000000">
      <w:pPr>
        <w:pStyle w:val="Heading2"/>
      </w:pPr>
      <w:r>
        <w:t>4.2  Storage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52F52" w14:paraId="2F427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A25E0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BCE33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Specification</w:t>
            </w:r>
          </w:p>
        </w:tc>
      </w:tr>
      <w:tr w:rsidR="00152F52" w14:paraId="5D565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62B59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Rolling buffer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CCAA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30-day default per channel — configurable per channel and per category</w:t>
            </w:r>
          </w:p>
        </w:tc>
      </w:tr>
      <w:tr w:rsidR="00152F52" w14:paraId="212129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5AA89F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Container format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3B41A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Fragmented MP4 (fMP4) aligned with HLS segments for seamless seek and clip extraction</w:t>
            </w:r>
          </w:p>
        </w:tc>
      </w:tr>
      <w:tr w:rsidR="00152F52" w14:paraId="651BB4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68EFA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Capacity sizing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7D38E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≈120 TB raw for 124 channels @ avg 3 Mbps, 30-day retention; 200–250 TB provisioned for headroom + replication</w:t>
            </w:r>
          </w:p>
        </w:tc>
      </w:tr>
      <w:tr w:rsidR="00152F52" w14:paraId="510F16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6F27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Storage backend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1FE132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Clustered QNAP NAS (or equivalent), RAID-6 + hot-spare; redundant 10GbE network paths</w:t>
            </w:r>
          </w:p>
        </w:tc>
      </w:tr>
      <w:tr w:rsidR="00152F52" w14:paraId="584351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4D63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Metadata store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9E14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MongoDB replica set for channel/source metadata, events, RBAC and audit logs</w:t>
            </w:r>
          </w:p>
        </w:tc>
      </w:tr>
      <w:tr w:rsidR="00152F52" w14:paraId="20AA68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A5DA2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Archive openness</w:t>
            </w:r>
          </w:p>
        </w:tc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6E2DF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fMP4 / CMAF is readable by any standards-compliant tooling — DEMP is never dependent on BesTel for archive access</w:t>
            </w:r>
          </w:p>
        </w:tc>
      </w:tr>
    </w:tbl>
    <w:p w14:paraId="448111CC" w14:textId="77777777" w:rsidR="00152F52" w:rsidRDefault="00152F52">
      <w:pPr>
        <w:spacing w:after="60"/>
      </w:pPr>
    </w:p>
    <w:p w14:paraId="2694919B" w14:textId="77777777" w:rsidR="00152F52" w:rsidRDefault="00000000">
      <w:pPr>
        <w:pStyle w:val="Heading2"/>
      </w:pPr>
      <w:r>
        <w:t>4.3  Performance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152F52" w14:paraId="5FA45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2C0A0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48161" w14:textId="77777777" w:rsidR="00152F5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B3A5F"/>
              </w:rPr>
              <w:t>Target</w:t>
            </w:r>
          </w:p>
        </w:tc>
      </w:tr>
      <w:tr w:rsidR="00152F52" w14:paraId="0575ACA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7C8013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Platform availability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A24E2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≥ 99.9%</w:t>
            </w:r>
          </w:p>
        </w:tc>
      </w:tr>
      <w:tr w:rsidR="00152F52" w14:paraId="79D68A8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C2449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Per-channel availability (excluding source-side outages)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B8B3CC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≥ 99.5%</w:t>
            </w:r>
          </w:p>
        </w:tc>
      </w:tr>
      <w:tr w:rsidR="00152F52" w14:paraId="725DE21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E1D36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Failover switch-over time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3804E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≤ 2 seconds</w:t>
            </w:r>
          </w:p>
        </w:tc>
      </w:tr>
      <w:tr w:rsidR="00152F52" w14:paraId="2494D9D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B75736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Glass-to-glass latency (standard HLS)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977C7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≤ 6 seconds</w:t>
            </w:r>
          </w:p>
        </w:tc>
      </w:tr>
      <w:tr w:rsidR="00152F52" w14:paraId="32EADB6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70BE9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Glass-to-glass latency (LL-HLS)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10E9EC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≤ 2 seconds</w:t>
            </w:r>
          </w:p>
        </w:tc>
      </w:tr>
      <w:tr w:rsidR="00152F52" w14:paraId="4D7A5F4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EEC724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API p95 latency (metadata endpoints)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5AA50B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≤ 300 ms</w:t>
            </w:r>
          </w:p>
        </w:tc>
      </w:tr>
      <w:tr w:rsidR="00152F52" w14:paraId="0659505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6F1A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API error rate (nominal load)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2587C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≤ 0.1%</w:t>
            </w:r>
          </w:p>
        </w:tc>
      </w:tr>
      <w:tr w:rsidR="00152F52" w14:paraId="5EAC490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BAB1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Video wall cold-load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8E6B03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≤ 5 seconds</w:t>
            </w:r>
          </w:p>
        </w:tc>
      </w:tr>
      <w:tr w:rsidR="00152F52" w14:paraId="0EAF95E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7968F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Recording continuity</w:t>
            </w:r>
          </w:p>
        </w:tc>
        <w:tc>
          <w:tcPr>
            <w:tcW w:w="30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BC3E51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≥ 99.9% segments persisted</w:t>
            </w:r>
          </w:p>
        </w:tc>
      </w:tr>
    </w:tbl>
    <w:p w14:paraId="0117592D" w14:textId="77777777" w:rsidR="00152F52" w:rsidRDefault="00000000">
      <w:r>
        <w:br w:type="page"/>
      </w:r>
    </w:p>
    <w:p w14:paraId="77C4D009" w14:textId="77777777" w:rsidR="00152F52" w:rsidRDefault="00000000">
      <w:pPr>
        <w:pStyle w:val="Heading1"/>
      </w:pPr>
      <w:r>
        <w:lastRenderedPageBreak/>
        <w:t>5.  High-Level CMU Architecture &amp; Data Flow</w:t>
      </w:r>
    </w:p>
    <w:p w14:paraId="546DEE6B" w14:textId="77777777" w:rsidR="00152F52" w:rsidRDefault="00000000">
      <w:pPr>
        <w:spacing w:after="120" w:line="276" w:lineRule="auto"/>
        <w:jc w:val="both"/>
      </w:pPr>
      <w:r>
        <w:t xml:space="preserve">The CMU platform is structured as </w:t>
      </w:r>
      <w:r>
        <w:rPr>
          <w:b/>
          <w:bCs/>
        </w:rPr>
        <w:t>seven horizontally-scalable tiers</w:t>
      </w:r>
      <w:r>
        <w:t>, each independently deployable, replaceable and capable of being scaled out without architectural re-design.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900"/>
        <w:gridCol w:w="5900"/>
      </w:tblGrid>
      <w:tr w:rsidR="00152F52" w14:paraId="3F4BA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05BB6" w14:textId="77777777" w:rsidR="00152F5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B3A5F"/>
              </w:rPr>
              <w:t>#</w:t>
            </w:r>
          </w:p>
        </w:tc>
        <w:tc>
          <w:tcPr>
            <w:tcW w:w="2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AB0A9E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Tier</w:t>
            </w:r>
          </w:p>
        </w:tc>
        <w:tc>
          <w:tcPr>
            <w:tcW w:w="5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31D67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Purpose</w:t>
            </w:r>
          </w:p>
        </w:tc>
      </w:tr>
      <w:tr w:rsidR="00152F52" w14:paraId="50AAA34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8F9C0B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231C2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Acquisition Tier</w:t>
            </w:r>
          </w:p>
        </w:tc>
        <w:tc>
          <w:tcPr>
            <w:tcW w:w="5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1B9833" w14:textId="217DA901" w:rsidR="00152F52" w:rsidRDefault="00000000">
            <w:pPr>
              <w:spacing w:line="252" w:lineRule="auto"/>
            </w:pPr>
            <w:r>
              <w:rPr>
                <w:color w:val="000000"/>
              </w:rPr>
              <w:t>IP/multicast endpoints with redundant network paths</w:t>
            </w:r>
          </w:p>
        </w:tc>
      </w:tr>
      <w:tr w:rsidR="00152F52" w14:paraId="4D01C86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6124D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8E4BF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Failover &amp; Probing Tier</w:t>
            </w:r>
          </w:p>
        </w:tc>
        <w:tc>
          <w:tcPr>
            <w:tcW w:w="5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AC45E2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Continuous health probing of every source per channel; automatic switch-over to the next healthy source</w:t>
            </w:r>
          </w:p>
        </w:tc>
      </w:tr>
      <w:tr w:rsidR="00152F52" w14:paraId="36DC6ED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27820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759D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Encoding / Transcoding Tier</w:t>
            </w:r>
          </w:p>
        </w:tc>
        <w:tc>
          <w:tcPr>
            <w:tcW w:w="5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F3EE4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FFmpeg-based real-time transcoding to ABR rendition ladders</w:t>
            </w:r>
          </w:p>
        </w:tc>
      </w:tr>
      <w:tr w:rsidR="00152F52" w14:paraId="3DF4336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623C6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736B3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Streaming Origin Tier</w:t>
            </w:r>
          </w:p>
        </w:tc>
        <w:tc>
          <w:tcPr>
            <w:tcW w:w="5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A4DB7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MediaMTX cluster publishing HLS / RTMP / LL-HLS</w:t>
            </w:r>
          </w:p>
        </w:tc>
      </w:tr>
      <w:tr w:rsidR="00152F52" w14:paraId="1F903AF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4F306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C09A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API &amp; Application Tier</w:t>
            </w:r>
          </w:p>
        </w:tc>
        <w:tc>
          <w:tcPr>
            <w:tcW w:w="5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AB7F6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Node.js + Express microservices delivering REST APIs, webhooks, video-wall UI and admin console</w:t>
            </w:r>
          </w:p>
        </w:tc>
      </w:tr>
      <w:tr w:rsidR="00152F52" w14:paraId="49E8CCF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33DCB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67EB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Storage Tier</w:t>
            </w:r>
          </w:p>
        </w:tc>
        <w:tc>
          <w:tcPr>
            <w:tcW w:w="5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7468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Rolling fMP4 recording archive (NAS) + MongoDB metadata store</w:t>
            </w:r>
          </w:p>
        </w:tc>
      </w:tr>
      <w:tr w:rsidR="00152F52" w14:paraId="0EB2DA7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0BA3DB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2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9BBA8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Observability &amp; Security Tier</w:t>
            </w:r>
          </w:p>
        </w:tc>
        <w:tc>
          <w:tcPr>
            <w:tcW w:w="5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11797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Centralised ELK logging, Prometheus/Grafana metrics, WAF, IDS/IPS and audit trail</w:t>
            </w:r>
          </w:p>
        </w:tc>
      </w:tr>
    </w:tbl>
    <w:p w14:paraId="7E74D70E" w14:textId="77777777" w:rsidR="00152F52" w:rsidRDefault="00152F52">
      <w:pPr>
        <w:spacing w:after="80"/>
      </w:pPr>
    </w:p>
    <w:p w14:paraId="636B38A2" w14:textId="77777777" w:rsidR="00152F52" w:rsidRDefault="00000000">
      <w:pPr>
        <w:pStyle w:val="Heading2"/>
      </w:pPr>
      <w:r>
        <w:t>5.1  End-to-End Data Flow (per channel, with 3-source failover)</w:t>
      </w:r>
    </w:p>
    <w:p w14:paraId="23688521" w14:textId="77777777" w:rsidR="00152F52" w:rsidRDefault="00000000">
      <w:pPr>
        <w:pStyle w:val="ListParagraph"/>
        <w:numPr>
          <w:ilvl w:val="0"/>
          <w:numId w:val="4"/>
        </w:numPr>
        <w:spacing w:after="60" w:line="268" w:lineRule="auto"/>
        <w:jc w:val="both"/>
      </w:pPr>
      <w:r>
        <w:rPr>
          <w:b/>
          <w:bCs/>
        </w:rPr>
        <w:t>Acquisition</w:t>
      </w:r>
      <w:r>
        <w:t xml:space="preserve"> — Source A (satellite/IRD), Source B (IP/multicast) and Source C (IP/multicast) deliver the live signal.</w:t>
      </w:r>
    </w:p>
    <w:p w14:paraId="7BC81A80" w14:textId="77777777" w:rsidR="00152F52" w:rsidRDefault="00000000">
      <w:pPr>
        <w:pStyle w:val="ListParagraph"/>
        <w:numPr>
          <w:ilvl w:val="0"/>
          <w:numId w:val="4"/>
        </w:numPr>
        <w:spacing w:after="60" w:line="268" w:lineRule="auto"/>
        <w:jc w:val="both"/>
      </w:pPr>
      <w:r>
        <w:rPr>
          <w:b/>
          <w:bCs/>
        </w:rPr>
        <w:t>Health probing</w:t>
      </w:r>
      <w:r>
        <w:t xml:space="preserve"> — each source is evaluated every 1–2 s against signal-presence, bitrate-floor, PCR continuity and (optionally) blank-frame heuristics.</w:t>
      </w:r>
    </w:p>
    <w:p w14:paraId="46ADA6B2" w14:textId="77777777" w:rsidR="00152F52" w:rsidRDefault="00000000">
      <w:pPr>
        <w:pStyle w:val="ListParagraph"/>
        <w:numPr>
          <w:ilvl w:val="0"/>
          <w:numId w:val="4"/>
        </w:numPr>
        <w:spacing w:after="60" w:line="268" w:lineRule="auto"/>
        <w:jc w:val="both"/>
      </w:pPr>
      <w:r>
        <w:rPr>
          <w:b/>
          <w:bCs/>
        </w:rPr>
        <w:t>Failover</w:t>
      </w:r>
      <w:r>
        <w:t xml:space="preserve"> — if the active source fails the probe, the orchestrator promotes the next healthy source within ≤ 2 s; the downstream URL stays unchanged so consumers see no interruption.</w:t>
      </w:r>
    </w:p>
    <w:p w14:paraId="0EE0E0CB" w14:textId="77777777" w:rsidR="00152F52" w:rsidRDefault="00000000">
      <w:pPr>
        <w:pStyle w:val="ListParagraph"/>
        <w:numPr>
          <w:ilvl w:val="0"/>
          <w:numId w:val="4"/>
        </w:numPr>
        <w:spacing w:after="60" w:line="268" w:lineRule="auto"/>
        <w:jc w:val="both"/>
      </w:pPr>
      <w:r>
        <w:rPr>
          <w:b/>
          <w:bCs/>
        </w:rPr>
        <w:t>Transcoding</w:t>
      </w:r>
      <w:r>
        <w:t xml:space="preserve"> — FFmpeg produces three ABR renditions per channel; segment length 4 s (default).</w:t>
      </w:r>
    </w:p>
    <w:p w14:paraId="641C9553" w14:textId="77777777" w:rsidR="00152F52" w:rsidRDefault="00000000">
      <w:pPr>
        <w:pStyle w:val="ListParagraph"/>
        <w:numPr>
          <w:ilvl w:val="0"/>
          <w:numId w:val="4"/>
        </w:numPr>
        <w:spacing w:after="60" w:line="268" w:lineRule="auto"/>
        <w:jc w:val="both"/>
      </w:pPr>
      <w:r>
        <w:rPr>
          <w:b/>
          <w:bCs/>
        </w:rPr>
        <w:t>Publishing</w:t>
      </w:r>
      <w:r>
        <w:t xml:space="preserve"> — transcoded streams are pushed via RTMP to the MediaMTX origin (:1935) and republished as HLS (:8888).</w:t>
      </w:r>
    </w:p>
    <w:p w14:paraId="3799793B" w14:textId="77777777" w:rsidR="00152F52" w:rsidRDefault="00000000">
      <w:pPr>
        <w:pStyle w:val="ListParagraph"/>
        <w:numPr>
          <w:ilvl w:val="0"/>
          <w:numId w:val="4"/>
        </w:numPr>
        <w:spacing w:after="60" w:line="268" w:lineRule="auto"/>
        <w:jc w:val="both"/>
      </w:pPr>
      <w:r>
        <w:rPr>
          <w:b/>
          <w:bCs/>
        </w:rPr>
        <w:t>Distribution</w:t>
      </w:r>
      <w:r>
        <w:t xml:space="preserve"> — authorized clients retrieve streams over HTTPS via the API gateway with authentication, authorization and rate-limiting.</w:t>
      </w:r>
    </w:p>
    <w:p w14:paraId="15CC8B60" w14:textId="77777777" w:rsidR="00152F52" w:rsidRDefault="00000000">
      <w:pPr>
        <w:pStyle w:val="ListParagraph"/>
        <w:numPr>
          <w:ilvl w:val="0"/>
          <w:numId w:val="4"/>
        </w:numPr>
        <w:spacing w:after="60" w:line="268" w:lineRule="auto"/>
        <w:jc w:val="both"/>
      </w:pPr>
      <w:r>
        <w:rPr>
          <w:b/>
          <w:bCs/>
        </w:rPr>
        <w:t>Recording &amp; logging</w:t>
      </w:r>
      <w:r>
        <w:t xml:space="preserve"> — a recorder writes rolling fMP4 segments to the NAS; every lifecycle event is logged centrally and is independently auditable.</w:t>
      </w:r>
    </w:p>
    <w:p w14:paraId="630BAB87" w14:textId="77777777" w:rsidR="00152F52" w:rsidRDefault="00000000">
      <w:pPr>
        <w:pStyle w:val="Heading1"/>
      </w:pPr>
      <w:r>
        <w:t>6.  Secure REST API Exposure &amp; Video Wall</w:t>
      </w:r>
    </w:p>
    <w:p w14:paraId="51C04916" w14:textId="77777777" w:rsidR="00152F52" w:rsidRDefault="00000000">
      <w:pPr>
        <w:pStyle w:val="Heading2"/>
      </w:pPr>
      <w:r>
        <w:t>6.1  Core API Endpoints (REST + Webhooks)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152F52" w14:paraId="181978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C0B22C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Endpoint</w:t>
            </w:r>
          </w:p>
        </w:tc>
        <w:tc>
          <w:tcPr>
            <w:tcW w:w="4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03260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Function</w:t>
            </w:r>
          </w:p>
        </w:tc>
      </w:tr>
      <w:tr w:rsidR="00152F52" w14:paraId="5C608EE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CADB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GET /api/v1/channels</w:t>
            </w:r>
          </w:p>
        </w:tc>
        <w:tc>
          <w:tcPr>
            <w:tcW w:w="4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0CB9F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List of all channels with metadata (id, name, language, category, region, current source, status)</w:t>
            </w:r>
          </w:p>
        </w:tc>
      </w:tr>
      <w:tr w:rsidR="00152F52" w14:paraId="1A5D278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7A662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lastRenderedPageBreak/>
              <w:t>GET /api/v1/channels/{id}/playlist.m3u8</w:t>
            </w:r>
          </w:p>
        </w:tc>
        <w:tc>
          <w:tcPr>
            <w:tcW w:w="4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6F5B6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Signed, authenticated HLS playlist URL</w:t>
            </w:r>
          </w:p>
        </w:tc>
      </w:tr>
      <w:tr w:rsidR="00152F52" w14:paraId="63E8DA3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31D4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GET /api/v1/channels/{id}/status</w:t>
            </w:r>
          </w:p>
        </w:tc>
        <w:tc>
          <w:tcPr>
            <w:tcW w:w="4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47B49E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Real-time source, last failover, uptime and current bitrate</w:t>
            </w:r>
          </w:p>
        </w:tc>
      </w:tr>
      <w:tr w:rsidR="00152F52" w14:paraId="528E5A4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8E930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GET /api/v1/recordings</w:t>
            </w:r>
          </w:p>
        </w:tc>
        <w:tc>
          <w:tcPr>
            <w:tcW w:w="4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6DBE3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Recorded segment lookup by channel and time window</w:t>
            </w:r>
          </w:p>
        </w:tc>
      </w:tr>
      <w:tr w:rsidR="00152F52" w14:paraId="31ECBA9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9FBDB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GET /api/v1/recordings/{id}/clip</w:t>
            </w:r>
          </w:p>
        </w:tc>
        <w:tc>
          <w:tcPr>
            <w:tcW w:w="4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AFE4E2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On-demand clip generation</w:t>
            </w:r>
          </w:p>
        </w:tc>
      </w:tr>
      <w:tr w:rsidR="00152F52" w14:paraId="2407416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03DC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GET /api/v1/events</w:t>
            </w:r>
          </w:p>
        </w:tc>
        <w:tc>
          <w:tcPr>
            <w:tcW w:w="4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FCBB9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Auditable platform events (failovers, access, errors)</w:t>
            </w:r>
          </w:p>
        </w:tc>
      </w:tr>
      <w:tr w:rsidR="00152F52" w14:paraId="1621A8D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544BE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GET /api/v1/metadata/{channel}/transcript</w:t>
            </w:r>
          </w:p>
        </w:tc>
        <w:tc>
          <w:tcPr>
            <w:tcW w:w="4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B009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Speech-to-text transcript stream (Urdu / English)</w:t>
            </w:r>
          </w:p>
        </w:tc>
      </w:tr>
      <w:tr w:rsidR="00152F52" w14:paraId="1771292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65A94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Webhook subscriptions</w:t>
            </w:r>
          </w:p>
        </w:tc>
        <w:tc>
          <w:tcPr>
            <w:tcW w:w="4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DDB4E3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Failover events, content alerts, recording completions — HMAC-SHA256 signed payloads</w:t>
            </w:r>
          </w:p>
        </w:tc>
      </w:tr>
    </w:tbl>
    <w:p w14:paraId="6B43A775" w14:textId="77777777" w:rsidR="00152F52" w:rsidRDefault="00152F52">
      <w:pPr>
        <w:spacing w:after="60"/>
      </w:pPr>
    </w:p>
    <w:p w14:paraId="1D7C36DB" w14:textId="77777777" w:rsidR="00152F52" w:rsidRDefault="00000000">
      <w:pPr>
        <w:spacing w:after="120" w:line="276" w:lineRule="auto"/>
        <w:jc w:val="both"/>
      </w:pPr>
      <w:r>
        <w:rPr>
          <w:b/>
          <w:bCs/>
        </w:rPr>
        <w:t>Developer artefacts</w:t>
      </w:r>
      <w:r>
        <w:t xml:space="preserve"> delivered at go-live: an OpenAPI 3.1 specification, a Postman collection, and Node.js + Python SDKs with sample integration code — reducing downstream integration effort to hours. The API is versioned (/api/v1/) with a published deprecation policy so new versions co-exist with legacy versions for staged downstream migration.</w:t>
      </w:r>
    </w:p>
    <w:p w14:paraId="41513312" w14:textId="77777777" w:rsidR="00152F52" w:rsidRDefault="00000000">
      <w:pPr>
        <w:pStyle w:val="Heading2"/>
      </w:pPr>
      <w:r>
        <w:t>6.2  Video Wall</w:t>
      </w:r>
    </w:p>
    <w:p w14:paraId="63210644" w14:textId="77777777" w:rsidR="00152F52" w:rsidRDefault="00000000">
      <w:pPr>
        <w:spacing w:after="120" w:line="276" w:lineRule="auto"/>
        <w:jc w:val="both"/>
      </w:pPr>
      <w:r>
        <w:t xml:space="preserve">A browser-native </w:t>
      </w:r>
      <w:r>
        <w:rPr>
          <w:b/>
          <w:bCs/>
        </w:rPr>
        <w:t>React + Vite + hls.js</w:t>
      </w:r>
      <w:r>
        <w:t xml:space="preserve"> single-page application with six or more configurable layouts — 1×1, 2×2, 3×3, 4×4, 5×5, a 6×4/8×4 large wall, and a PiP-focus mode. Layouts are saved per user and recalled on login. Closed captions, on-screen channel labels and a synchronized time-strip are configurable globally. No proprietary client software is required.</w:t>
      </w:r>
    </w:p>
    <w:p w14:paraId="04FA388C" w14:textId="77777777" w:rsidR="00152F52" w:rsidRDefault="00000000">
      <w:r>
        <w:br w:type="page"/>
      </w:r>
    </w:p>
    <w:p w14:paraId="0E57FE2C" w14:textId="77777777" w:rsidR="00152F52" w:rsidRDefault="00000000">
      <w:pPr>
        <w:pStyle w:val="Heading1"/>
      </w:pPr>
      <w:r>
        <w:lastRenderedPageBreak/>
        <w:t>7.  Security — Defence-in-Depth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152F52" w14:paraId="3C3C65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E9102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Layer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DEE52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Control</w:t>
            </w:r>
          </w:p>
        </w:tc>
      </w:tr>
      <w:tr w:rsidR="00152F52" w14:paraId="0269B5E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261AF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Perimeter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A7DD3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Next-Gen Firewall + IDS/IPS + WAF + geo-IP filtering + DDoS scrubbing</w:t>
            </w:r>
          </w:p>
        </w:tc>
      </w:tr>
      <w:tr w:rsidR="00152F52" w14:paraId="5DC4D4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737BB7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Transport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5DE270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TLS 1.2+ on every HTTP/HTTPS path; HSTS; modern cipher suites only</w:t>
            </w:r>
          </w:p>
        </w:tc>
      </w:tr>
      <w:tr w:rsidR="00152F52" w14:paraId="212DC1E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7F01B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At-rest encryption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31F8A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AES-256 on recording storage and database backups</w:t>
            </w:r>
          </w:p>
        </w:tc>
      </w:tr>
      <w:tr w:rsidR="00152F52" w14:paraId="2ACDD1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4B3C6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Identity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1B29B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OAuth 2.0 + JWT; optional OIDC federation with the DEMP/Ministry IdP; MFA mandatory for administrative roles</w:t>
            </w:r>
          </w:p>
        </w:tc>
      </w:tr>
      <w:tr w:rsidR="00152F52" w14:paraId="50C457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B6756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Authorization (RBAC)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819D9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Predefined roles (Viewer / Analyst / Operator / Admin / Auditor) plus custom roles</w:t>
            </w:r>
          </w:p>
        </w:tc>
      </w:tr>
      <w:tr w:rsidR="00152F52" w14:paraId="038DA2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BEF24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Rate limiting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C1E57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Per-tenant token-bucket limits per endpoint group; HTTP 429 with Retry-After</w:t>
            </w:r>
          </w:p>
        </w:tc>
      </w:tr>
      <w:tr w:rsidR="00152F52" w14:paraId="76479A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A8D438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URL signing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264F3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Time-limited signed HLS playlist URLs prevent unauthorized re-sharing</w:t>
            </w:r>
          </w:p>
        </w:tc>
      </w:tr>
      <w:tr w:rsidR="00152F52" w14:paraId="53E5AB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B03EA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Host hardening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206A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CIS-aligned OS hardening, kernel auditing, fail2ban on management hosts</w:t>
            </w:r>
          </w:p>
        </w:tc>
      </w:tr>
      <w:tr w:rsidR="00152F52" w14:paraId="302BF7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6AE42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Vulnerability mgmt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7D9D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Monthly scans, quarterly patch cycle, emergency CVE patching</w:t>
            </w:r>
          </w:p>
        </w:tc>
      </w:tr>
      <w:tr w:rsidR="00152F52" w14:paraId="6037864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1C0EA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Audit trail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129053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Immutable write-once logging of all administrative actions; exportable to the DEMP audit authority</w:t>
            </w:r>
          </w:p>
        </w:tc>
      </w:tr>
      <w:tr w:rsidR="00152F52" w14:paraId="1885483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778F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Network segmentation</w:t>
            </w:r>
          </w:p>
        </w:tc>
        <w:tc>
          <w:tcPr>
            <w:tcW w:w="6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8320E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DMZ / Acquisition / Processing / Storage / Management / DR zones with east-west firewall rules</w:t>
            </w:r>
          </w:p>
        </w:tc>
      </w:tr>
    </w:tbl>
    <w:p w14:paraId="4C30F718" w14:textId="77777777" w:rsidR="00152F52" w:rsidRDefault="00000000">
      <w:pPr>
        <w:pStyle w:val="Heading1"/>
      </w:pPr>
      <w:r>
        <w:t>8.  Scalability</w:t>
      </w:r>
    </w:p>
    <w:p w14:paraId="0D8430A2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Horizontal scale-out</w:t>
      </w:r>
      <w:r>
        <w:t xml:space="preserve"> on every tier — ingest, encoder, origin or API nodes are added without architectural redesign.</w:t>
      </w:r>
    </w:p>
    <w:p w14:paraId="234A7352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Stateless application tier</w:t>
      </w:r>
      <w:r>
        <w:t xml:space="preserve"> — services can be killed and re-instantiated without data loss; auto-scaling under load.</w:t>
      </w:r>
    </w:p>
    <w:p w14:paraId="7A36DAAA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Optional caching tier</w:t>
      </w:r>
      <w:r>
        <w:t xml:space="preserve"> — CDN or internal cache layer for high fan-out distribution.</w:t>
      </w:r>
    </w:p>
    <w:p w14:paraId="256FAFB5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Capacity headroom</w:t>
      </w:r>
      <w:r>
        <w:t xml:space="preserve"> built into the initial sizing for additional channels beyond 124.</w:t>
      </w:r>
    </w:p>
    <w:p w14:paraId="48B487A6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Docker + Compose / Kubernetes</w:t>
      </w:r>
      <w:r>
        <w:t xml:space="preserve"> orchestration for consistent, repeatable scaling operations across bare-metal, virtualized or cloud infrastructure.</w:t>
      </w:r>
    </w:p>
    <w:p w14:paraId="50C4BD6D" w14:textId="77777777" w:rsidR="00152F52" w:rsidRDefault="00000000">
      <w:pPr>
        <w:pStyle w:val="Heading1"/>
      </w:pPr>
      <w:r>
        <w:t>9.  Redundancy &amp; Disaster Recovery</w:t>
      </w:r>
    </w:p>
    <w:p w14:paraId="26A3DB70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3-source failover per channel</w:t>
      </w:r>
      <w:r>
        <w:t xml:space="preserve"> with sub-2-second switch-over.</w:t>
      </w:r>
    </w:p>
    <w:p w14:paraId="77260D2F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Active-active streaming origin</w:t>
      </w:r>
      <w:r>
        <w:t xml:space="preserve"> — each channel is published to ≥ 2 MediaMTX nodes.</w:t>
      </w:r>
    </w:p>
    <w:p w14:paraId="09D4B871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Active-active ingest</w:t>
      </w:r>
      <w:r>
        <w:t xml:space="preserve"> — dual ingest nodes with health-based traffic steering.</w:t>
      </w:r>
    </w:p>
    <w:p w14:paraId="40B47DF9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MongoDB replica set</w:t>
      </w:r>
      <w:r>
        <w:t xml:space="preserve"> (Primary + Secondary + Arbiter) for metadata high-availability.</w:t>
      </w:r>
    </w:p>
    <w:p w14:paraId="675198C4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lastRenderedPageBreak/>
        <w:t>NAS RAID-6 + hot-spare</w:t>
      </w:r>
      <w:r>
        <w:t xml:space="preserve"> for recording survivability.</w:t>
      </w:r>
    </w:p>
    <w:p w14:paraId="405E72D7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Asynchronous DR replication</w:t>
      </w:r>
      <w:r>
        <w:t xml:space="preserve"> to a secondary site — RTO 4 hours; RPO 15 minutes (metadata) / 1 hour (recordings).</w:t>
      </w:r>
    </w:p>
    <w:p w14:paraId="02688191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UPS + diesel-generator backup</w:t>
      </w:r>
      <w:r>
        <w:t xml:space="preserve"> at the CMU facility (on-premise mode).</w:t>
      </w:r>
    </w:p>
    <w:p w14:paraId="7E3F5AE2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Backup policy</w:t>
      </w:r>
      <w:r>
        <w:t xml:space="preserve"> — daily incremental, weekly full, quarterly tested restore drills.</w:t>
      </w:r>
    </w:p>
    <w:p w14:paraId="5F8E8DAF" w14:textId="77777777" w:rsidR="00152F52" w:rsidRDefault="00000000">
      <w:r>
        <w:br w:type="page"/>
      </w:r>
    </w:p>
    <w:p w14:paraId="7ADE4D9C" w14:textId="77777777" w:rsidR="00152F52" w:rsidRDefault="00000000">
      <w:pPr>
        <w:pStyle w:val="Heading1"/>
      </w:pPr>
      <w:r>
        <w:lastRenderedPageBreak/>
        <w:t>10.  24×7 Operations, SLA &amp; Incident Management</w:t>
      </w:r>
    </w:p>
    <w:p w14:paraId="3D544E1C" w14:textId="77777777" w:rsidR="00152F52" w:rsidRDefault="00000000">
      <w:pPr>
        <w:pStyle w:val="Heading2"/>
      </w:pPr>
      <w:r>
        <w:t>10.1  Operations</w:t>
      </w:r>
    </w:p>
    <w:p w14:paraId="66456C80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Pakistan-based NOC</w:t>
      </w:r>
      <w:r>
        <w:t xml:space="preserve"> manned 24×7 by Tier-1 / Tier-2 engineers — no time-zone or escalation friction.</w:t>
      </w:r>
    </w:p>
    <w:p w14:paraId="10604CA9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Dedicated DEMP dashboard</w:t>
      </w:r>
      <w:r>
        <w:t xml:space="preserve"> — per-channel health, per-node metrics, API throughput, storage utilization and incident queue.</w:t>
      </w:r>
    </w:p>
    <w:p w14:paraId="5969A0EC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Preventive maintenance</w:t>
      </w:r>
      <w:r>
        <w:t xml:space="preserve"> — monthly OS patching, weekly health audits, quarterly DR drills.</w:t>
      </w:r>
    </w:p>
    <w:p w14:paraId="444F5A0C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Change management</w:t>
      </w:r>
      <w:r>
        <w:t xml:space="preserve"> — maintenance windows scheduled outside prime-time broadcast hours with advance notice to DEMP.</w:t>
      </w:r>
    </w:p>
    <w:p w14:paraId="333E4FCF" w14:textId="77777777" w:rsidR="00152F52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>Monthly Service Review</w:t>
      </w:r>
      <w:r>
        <w:t xml:space="preserve"> with a formal SLA report.</w:t>
      </w:r>
    </w:p>
    <w:p w14:paraId="78887CAE" w14:textId="77777777" w:rsidR="00152F52" w:rsidRDefault="00000000">
      <w:pPr>
        <w:pStyle w:val="Heading2"/>
      </w:pPr>
      <w:r>
        <w:t>10.2  Incident Management SLA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60"/>
        <w:gridCol w:w="1700"/>
        <w:gridCol w:w="1700"/>
      </w:tblGrid>
      <w:tr w:rsidR="00152F52" w14:paraId="754A54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4202A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Severity</w:t>
            </w:r>
          </w:p>
        </w:tc>
        <w:tc>
          <w:tcPr>
            <w:tcW w:w="40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2B5F6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Definition</w:t>
            </w:r>
          </w:p>
        </w:tc>
        <w:tc>
          <w:tcPr>
            <w:tcW w:w="1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B7BE2" w14:textId="77777777" w:rsidR="00152F5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B3A5F"/>
              </w:rPr>
              <w:t>Response</w:t>
            </w:r>
          </w:p>
        </w:tc>
        <w:tc>
          <w:tcPr>
            <w:tcW w:w="1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C3497" w14:textId="77777777" w:rsidR="00152F5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B3A5F"/>
              </w:rPr>
              <w:t>Resolution</w:t>
            </w:r>
          </w:p>
        </w:tc>
      </w:tr>
      <w:tr w:rsidR="00152F52" w14:paraId="42B5CE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A5692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S1 — Critical</w:t>
            </w:r>
          </w:p>
        </w:tc>
        <w:tc>
          <w:tcPr>
            <w:tcW w:w="40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7FE20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Platform-wide outage / &gt; 25 channels down</w:t>
            </w:r>
          </w:p>
        </w:tc>
        <w:tc>
          <w:tcPr>
            <w:tcW w:w="1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4CD85B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15 minutes</w:t>
            </w:r>
          </w:p>
        </w:tc>
        <w:tc>
          <w:tcPr>
            <w:tcW w:w="1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1506E1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4 hours</w:t>
            </w:r>
          </w:p>
        </w:tc>
      </w:tr>
      <w:tr w:rsidR="00152F52" w14:paraId="160DA6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B3E95E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S2 — High</w:t>
            </w:r>
          </w:p>
        </w:tc>
        <w:tc>
          <w:tcPr>
            <w:tcW w:w="40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0CA480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1–25 channels down or API degraded</w:t>
            </w:r>
          </w:p>
        </w:tc>
        <w:tc>
          <w:tcPr>
            <w:tcW w:w="1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F84CF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30 minutes</w:t>
            </w:r>
          </w:p>
        </w:tc>
        <w:tc>
          <w:tcPr>
            <w:tcW w:w="1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6EFE2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8 hours</w:t>
            </w:r>
          </w:p>
        </w:tc>
      </w:tr>
      <w:tr w:rsidR="00152F52" w14:paraId="6DBCBF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B9E1A2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S3 — Medium</w:t>
            </w:r>
          </w:p>
        </w:tc>
        <w:tc>
          <w:tcPr>
            <w:tcW w:w="40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11C8D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Single source failure with failover active</w:t>
            </w:r>
          </w:p>
        </w:tc>
        <w:tc>
          <w:tcPr>
            <w:tcW w:w="1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384EC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2 hours</w:t>
            </w:r>
          </w:p>
        </w:tc>
        <w:tc>
          <w:tcPr>
            <w:tcW w:w="1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1F4C3F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1 business day</w:t>
            </w:r>
          </w:p>
        </w:tc>
      </w:tr>
      <w:tr w:rsidR="00152F52" w14:paraId="548EB7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A29E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S4 — Low</w:t>
            </w:r>
          </w:p>
        </w:tc>
        <w:tc>
          <w:tcPr>
            <w:tcW w:w="40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F585F4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Cosmetic or feature request</w:t>
            </w:r>
          </w:p>
        </w:tc>
        <w:tc>
          <w:tcPr>
            <w:tcW w:w="1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0B38A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1 business day</w:t>
            </w:r>
          </w:p>
        </w:tc>
        <w:tc>
          <w:tcPr>
            <w:tcW w:w="17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47D10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Next maintenance window</w:t>
            </w:r>
          </w:p>
        </w:tc>
      </w:tr>
    </w:tbl>
    <w:p w14:paraId="0210C783" w14:textId="77777777" w:rsidR="00152F52" w:rsidRDefault="00000000">
      <w:pPr>
        <w:pStyle w:val="Heading1"/>
      </w:pPr>
      <w:r>
        <w:t>11.  Standards Compliance</w:t>
      </w:r>
    </w:p>
    <w:p w14:paraId="58C2AE00" w14:textId="77777777" w:rsidR="00152F52" w:rsidRDefault="00000000">
      <w:pPr>
        <w:spacing w:after="120" w:line="276" w:lineRule="auto"/>
        <w:jc w:val="both"/>
      </w:pPr>
      <w:r>
        <w:t>The proposed solution is built exclusively on open IETF, ISO/IEC, ITU-T and W3C standards — every protocol is publicly documented, interoperability-tested and supported by multiple independent implementations. There is no proprietary lock-in.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52F52" w14:paraId="41EF61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A25CC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8CDE4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Standards Applied</w:t>
            </w:r>
          </w:p>
        </w:tc>
      </w:tr>
      <w:tr w:rsidR="00152F52" w14:paraId="0DAD5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D4AA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Broadcast / streaming</w:t>
            </w:r>
          </w:p>
        </w:tc>
        <w:tc>
          <w:tcPr>
            <w:tcW w:w="6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756B98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MPEG-TS over UDP/RTP (ISO/IEC 13818-1), HLS (RFC 8216), MPEG-DASH (ISO/IEC 23009-1), LL-HLS, RTMP/RTMPS, RTSP (RFC 7826), H.264 (ITU-T H.264), H.265 (ITU-T H.265), AAC-LC (ISO/IEC 14496-3), fMP4 / CMAF</w:t>
            </w:r>
          </w:p>
        </w:tc>
      </w:tr>
      <w:tr w:rsidR="00152F52" w14:paraId="5C2A84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D26DC6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API</w:t>
            </w:r>
          </w:p>
        </w:tc>
        <w:tc>
          <w:tcPr>
            <w:tcW w:w="6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A2CE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REST, OpenAPI 3.1, JSON (RFC 8259), JSON Schema 2020-12, HTTP/1.1 + HTTP/2 (RFC 7230 / 9113), HMAC-SHA256 webhook signing (RFC 2104)</w:t>
            </w:r>
          </w:p>
        </w:tc>
      </w:tr>
      <w:tr w:rsidR="00152F52" w14:paraId="66DE1B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553F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Security</w:t>
            </w:r>
          </w:p>
        </w:tc>
        <w:tc>
          <w:tcPr>
            <w:tcW w:w="6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2D3A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TLS 1.2/1.3 (RFC 5246/8446), OAuth 2.0 (RFC 6749), JWT (RFC 7519), OIDC Core 1.0, mTLS (RFC 8705), CIS Benchmarks, OWASP Top 10 / API Top 10, AES-256 (FIPS 197), SHA-256 (FIPS 180-4)</w:t>
            </w:r>
          </w:p>
        </w:tc>
      </w:tr>
      <w:tr w:rsidR="00152F52" w14:paraId="597C6C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4D2E7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Operations</w:t>
            </w:r>
          </w:p>
        </w:tc>
        <w:tc>
          <w:tcPr>
            <w:tcW w:w="69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BCE0C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Syslog (RFC 5424), Prometheus exposition, OpenTelemetry 1.x, NTP/PTP (RFC 5905 / IEEE 1588)</w:t>
            </w:r>
          </w:p>
        </w:tc>
      </w:tr>
    </w:tbl>
    <w:p w14:paraId="15489E23" w14:textId="77777777" w:rsidR="00152F52" w:rsidRDefault="00000000">
      <w:pPr>
        <w:pStyle w:val="Heading1"/>
      </w:pPr>
      <w:r>
        <w:lastRenderedPageBreak/>
        <w:t>12.  Implementation Methodology &amp;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660"/>
        <w:gridCol w:w="1500"/>
      </w:tblGrid>
      <w:tr w:rsidR="00152F52" w14:paraId="6831F0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75F89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Phase</w:t>
            </w:r>
          </w:p>
        </w:tc>
        <w:tc>
          <w:tcPr>
            <w:tcW w:w="4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8D4CC" w14:textId="77777777" w:rsidR="00152F52" w:rsidRDefault="00000000">
            <w:pPr>
              <w:spacing w:line="252" w:lineRule="auto"/>
            </w:pPr>
            <w:r>
              <w:rPr>
                <w:b/>
                <w:bCs/>
                <w:color w:val="1B3A5F"/>
              </w:rPr>
              <w:t>Key Activities</w:t>
            </w:r>
          </w:p>
        </w:tc>
        <w:tc>
          <w:tcPr>
            <w:tcW w:w="15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D6E4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881A2" w14:textId="77777777" w:rsidR="00152F52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B3A5F"/>
              </w:rPr>
              <w:t>Duration</w:t>
            </w:r>
          </w:p>
        </w:tc>
      </w:tr>
      <w:tr w:rsidR="00152F52" w14:paraId="5FA1BA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177D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Mobilization &amp; Design</w:t>
            </w:r>
          </w:p>
        </w:tc>
        <w:tc>
          <w:tcPr>
            <w:tcW w:w="4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03334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Kick-off, detailed design freeze, source/licensing confirmation, environment provisioning</w:t>
            </w:r>
          </w:p>
        </w:tc>
        <w:tc>
          <w:tcPr>
            <w:tcW w:w="15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9042C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Day 0–3</w:t>
            </w:r>
          </w:p>
        </w:tc>
      </w:tr>
      <w:tr w:rsidR="00152F52" w14:paraId="6CD6C6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8B8B6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Acquisition &amp; Encoding</w:t>
            </w:r>
          </w:p>
        </w:tc>
        <w:tc>
          <w:tcPr>
            <w:tcW w:w="4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70C331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IRD/multicast onboarding, 3-source mapping, ABR encoder configuration</w:t>
            </w:r>
          </w:p>
        </w:tc>
        <w:tc>
          <w:tcPr>
            <w:tcW w:w="15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D0C8A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Day 3–8</w:t>
            </w:r>
          </w:p>
        </w:tc>
      </w:tr>
      <w:tr w:rsidR="00152F52" w14:paraId="067965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AEBF5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Streaming, API &amp; Video Wall</w:t>
            </w:r>
          </w:p>
        </w:tc>
        <w:tc>
          <w:tcPr>
            <w:tcW w:w="4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8AD16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MediaMTX origin, REST API + webhooks, video-wall layouts, RBAC</w:t>
            </w:r>
          </w:p>
        </w:tc>
        <w:tc>
          <w:tcPr>
            <w:tcW w:w="15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0F7A5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Day 8–12</w:t>
            </w:r>
          </w:p>
        </w:tc>
      </w:tr>
      <w:tr w:rsidR="00152F52" w14:paraId="2E9615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5787E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Hardening &amp; Go-Live</w:t>
            </w:r>
          </w:p>
        </w:tc>
        <w:tc>
          <w:tcPr>
            <w:tcW w:w="4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C763A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Security hardening, recording/DR verification, FAT, operational go-live</w:t>
            </w:r>
          </w:p>
        </w:tc>
        <w:tc>
          <w:tcPr>
            <w:tcW w:w="15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0840A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Day 12–15</w:t>
            </w:r>
          </w:p>
        </w:tc>
      </w:tr>
      <w:tr w:rsidR="00152F52" w14:paraId="4CF1C9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3AD3D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Stabilization &amp; Acceptance</w:t>
            </w:r>
          </w:p>
        </w:tc>
        <w:tc>
          <w:tcPr>
            <w:tcW w:w="4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D08E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Monitoring, tuning, SAT, documentation &amp; training handover</w:t>
            </w:r>
          </w:p>
        </w:tc>
        <w:tc>
          <w:tcPr>
            <w:tcW w:w="15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22B7CC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Day 15–30</w:t>
            </w:r>
          </w:p>
        </w:tc>
      </w:tr>
      <w:tr w:rsidR="00152F52" w14:paraId="24D359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37D29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Operations &amp; Support</w:t>
            </w:r>
          </w:p>
        </w:tc>
        <w:tc>
          <w:tcPr>
            <w:tcW w:w="466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57BF7" w14:textId="77777777" w:rsidR="00152F52" w:rsidRDefault="00000000">
            <w:pPr>
              <w:spacing w:line="252" w:lineRule="auto"/>
            </w:pPr>
            <w:r>
              <w:rPr>
                <w:color w:val="000000"/>
              </w:rPr>
              <w:t>24×7 NOC, preventive maintenance, monthly SLA reviews</w:t>
            </w:r>
          </w:p>
        </w:tc>
        <w:tc>
          <w:tcPr>
            <w:tcW w:w="1500" w:type="dxa"/>
            <w:tcBorders>
              <w:top w:val="single" w:sz="1" w:space="0" w:color="C9D6E5"/>
              <w:left w:val="single" w:sz="1" w:space="0" w:color="C9D6E5"/>
              <w:bottom w:val="single" w:sz="1" w:space="0" w:color="C9D6E5"/>
              <w:right w:val="single" w:sz="1" w:space="0" w:color="C9D6E5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1861F" w14:textId="77777777" w:rsidR="00152F52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Full tenure</w:t>
            </w:r>
          </w:p>
        </w:tc>
      </w:tr>
    </w:tbl>
    <w:p w14:paraId="5B2A22E9" w14:textId="77777777" w:rsidR="00152F52" w:rsidRDefault="00152F52">
      <w:pPr>
        <w:spacing w:after="80"/>
      </w:pPr>
    </w:p>
    <w:p w14:paraId="7A8A1903" w14:textId="77777777" w:rsidR="00152F52" w:rsidRDefault="00000000">
      <w:pPr>
        <w:spacing w:after="120" w:line="276" w:lineRule="auto"/>
        <w:jc w:val="both"/>
      </w:pPr>
      <w:r>
        <w:t>The 15-day-to-go-live plus 7–15-day stabilization timeline is realistic, measurable, and underwritten by previous BesTel deliveries of the Analysys platform to Government of Pakistan clients at comparable scale.</w:t>
      </w:r>
    </w:p>
    <w:p w14:paraId="1EEE7629" w14:textId="77777777" w:rsidR="00152F52" w:rsidRDefault="00000000">
      <w:pPr>
        <w:pStyle w:val="Heading1"/>
      </w:pPr>
      <w:r>
        <w:t>13.  Conclusion</w:t>
      </w:r>
    </w:p>
    <w:p w14:paraId="3D37D64A" w14:textId="77777777" w:rsidR="00152F52" w:rsidRDefault="00000000">
      <w:pPr>
        <w:spacing w:after="120" w:line="276" w:lineRule="auto"/>
        <w:jc w:val="both"/>
      </w:pPr>
      <w:r>
        <w:t>This write-up demonstrates a complete, standards-based and production-proven architecture for the CMU — covering acquisition, encoding/storage, API exposure, security, scalability, redundancy and 24×7 operations as requested. Because the design is a battle-tested evolution of the Analysys platform already operating with a Government of Pakistan client, DEMP benefits from reduced delivery risk, a short time-to-go-live, full in-house engineering accountability, and a clear AI/analytics roadmap (ContentSense, InstaClip, TVC Tracking, speech-to-text), with no proprietary vendor lock-in.</w:t>
      </w:r>
    </w:p>
    <w:p w14:paraId="2224B518" w14:textId="77777777" w:rsidR="00152F52" w:rsidRDefault="00000000">
      <w:pPr>
        <w:spacing w:after="120" w:line="276" w:lineRule="auto"/>
        <w:jc w:val="both"/>
      </w:pPr>
      <w:r>
        <w:t>BesTel remains available to demonstrate the platform, supply any additional information, or appear before the evaluation committee at the Procuring Agency’s convenience.</w:t>
      </w:r>
    </w:p>
    <w:p w14:paraId="754415E2" w14:textId="77777777" w:rsidR="00152F52" w:rsidRDefault="00152F52">
      <w:pPr>
        <w:spacing w:after="240"/>
      </w:pPr>
    </w:p>
    <w:p w14:paraId="500879D5" w14:textId="77777777" w:rsidR="00152F52" w:rsidRDefault="00000000">
      <w:pPr>
        <w:spacing w:after="40"/>
      </w:pPr>
      <w:r>
        <w:rPr>
          <w:b/>
          <w:bCs/>
        </w:rPr>
        <w:t>For and on behalf of BesTel Communications (Pvt) Ltd.</w:t>
      </w:r>
    </w:p>
    <w:p w14:paraId="7036CE99" w14:textId="77777777" w:rsidR="00152F52" w:rsidRDefault="00152F52">
      <w:pPr>
        <w:spacing w:after="360"/>
      </w:pPr>
    </w:p>
    <w:p w14:paraId="01A0A4D8" w14:textId="77777777" w:rsidR="00152F52" w:rsidRDefault="00152F52">
      <w:pPr>
        <w:pBdr>
          <w:top w:val="single" w:sz="6" w:space="2" w:color="000000"/>
        </w:pBdr>
      </w:pPr>
    </w:p>
    <w:p w14:paraId="0AE09D42" w14:textId="77777777" w:rsidR="00152F52" w:rsidRDefault="00000000">
      <w:r>
        <w:rPr>
          <w:b/>
          <w:bCs/>
        </w:rPr>
        <w:t>Mohammad Mujtaba</w:t>
      </w:r>
    </w:p>
    <w:p w14:paraId="65FD9596" w14:textId="77777777" w:rsidR="00152F52" w:rsidRDefault="00000000">
      <w:r>
        <w:t>Chief Revenue Officer</w:t>
      </w:r>
    </w:p>
    <w:p w14:paraId="4C609211" w14:textId="77777777" w:rsidR="00152F52" w:rsidRDefault="00000000">
      <w:r>
        <w:t>mohammad.mujtaba@bestel.tech</w:t>
      </w:r>
    </w:p>
    <w:p w14:paraId="2FD06DFE" w14:textId="77777777" w:rsidR="00152F52" w:rsidRDefault="00000000">
      <w:r>
        <w:t>BesTel Communications (Pvt) Ltd.  |  https://bestel.tech</w:t>
      </w:r>
    </w:p>
    <w:sectPr w:rsidR="00152F5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91CE3" w14:textId="77777777" w:rsidR="00EA4CC6" w:rsidRDefault="00EA4CC6">
      <w:r>
        <w:separator/>
      </w:r>
    </w:p>
  </w:endnote>
  <w:endnote w:type="continuationSeparator" w:id="0">
    <w:p w14:paraId="256C76D6" w14:textId="77777777" w:rsidR="00EA4CC6" w:rsidRDefault="00EA4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0E82" w14:textId="77777777" w:rsidR="00152F52" w:rsidRDefault="00000000">
    <w:pPr>
      <w:pBdr>
        <w:top w:val="single" w:sz="4" w:space="2" w:color="C9D6E5"/>
      </w:pBdr>
      <w:tabs>
        <w:tab w:val="right" w:pos="9360"/>
      </w:tabs>
    </w:pPr>
    <w:r>
      <w:rPr>
        <w:color w:val="777777"/>
        <w:sz w:val="15"/>
        <w:szCs w:val="15"/>
      </w:rPr>
      <w:t>Confidential — prepared for DEMP, Ministry of Information &amp; Broadcasting</w:t>
    </w:r>
    <w:r>
      <w:rPr>
        <w:sz w:val="15"/>
        <w:szCs w:val="15"/>
      </w:rPr>
      <w:tab/>
    </w:r>
    <w:r>
      <w:rPr>
        <w:color w:val="777777"/>
        <w:sz w:val="15"/>
        <w:szCs w:val="15"/>
      </w:rPr>
      <w:t xml:space="preserve">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257A9C">
      <w:rPr>
        <w:noProof/>
        <w:color w:val="777777"/>
        <w:sz w:val="15"/>
        <w:szCs w:val="15"/>
      </w:rPr>
      <w:t>1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257A9C">
      <w:rPr>
        <w:noProof/>
        <w:color w:val="777777"/>
        <w:sz w:val="15"/>
        <w:szCs w:val="15"/>
      </w:rPr>
      <w:t>2</w:t>
    </w:r>
    <w:r>
      <w:rPr>
        <w:color w:val="777777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12D52" w14:textId="77777777" w:rsidR="00EA4CC6" w:rsidRDefault="00EA4CC6">
      <w:r>
        <w:separator/>
      </w:r>
    </w:p>
  </w:footnote>
  <w:footnote w:type="continuationSeparator" w:id="0">
    <w:p w14:paraId="7F21608F" w14:textId="77777777" w:rsidR="00EA4CC6" w:rsidRDefault="00EA4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A551" w14:textId="77777777" w:rsidR="00152F52" w:rsidRDefault="00000000">
    <w:pPr>
      <w:pBdr>
        <w:bottom w:val="single" w:sz="4" w:space="2" w:color="C9D6E5"/>
      </w:pBdr>
      <w:jc w:val="right"/>
    </w:pPr>
    <w:r>
      <w:rPr>
        <w:color w:val="777777"/>
        <w:sz w:val="15"/>
        <w:szCs w:val="15"/>
      </w:rPr>
      <w:t>BesTel Communications (Pvt) Ltd.  —  CMU Technical Write-Up  —  Tender Ref P28901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920"/>
    <w:multiLevelType w:val="hybridMultilevel"/>
    <w:tmpl w:val="25F81A68"/>
    <w:lvl w:ilvl="0" w:tplc="86E6BEDC">
      <w:start w:val="1"/>
      <w:numFmt w:val="decimal"/>
      <w:lvlText w:val="%1."/>
      <w:lvlJc w:val="left"/>
      <w:pPr>
        <w:ind w:left="540" w:hanging="320"/>
      </w:pPr>
    </w:lvl>
    <w:lvl w:ilvl="1" w:tplc="7F205382">
      <w:numFmt w:val="decimal"/>
      <w:lvlText w:val=""/>
      <w:lvlJc w:val="left"/>
    </w:lvl>
    <w:lvl w:ilvl="2" w:tplc="2A380D36">
      <w:numFmt w:val="decimal"/>
      <w:lvlText w:val=""/>
      <w:lvlJc w:val="left"/>
    </w:lvl>
    <w:lvl w:ilvl="3" w:tplc="4A74915C">
      <w:numFmt w:val="decimal"/>
      <w:lvlText w:val=""/>
      <w:lvlJc w:val="left"/>
    </w:lvl>
    <w:lvl w:ilvl="4" w:tplc="E33E80B0">
      <w:numFmt w:val="decimal"/>
      <w:lvlText w:val=""/>
      <w:lvlJc w:val="left"/>
    </w:lvl>
    <w:lvl w:ilvl="5" w:tplc="8214A4BA">
      <w:numFmt w:val="decimal"/>
      <w:lvlText w:val=""/>
      <w:lvlJc w:val="left"/>
    </w:lvl>
    <w:lvl w:ilvl="6" w:tplc="FFD64ADA">
      <w:numFmt w:val="decimal"/>
      <w:lvlText w:val=""/>
      <w:lvlJc w:val="left"/>
    </w:lvl>
    <w:lvl w:ilvl="7" w:tplc="F90CEC3C">
      <w:numFmt w:val="decimal"/>
      <w:lvlText w:val=""/>
      <w:lvlJc w:val="left"/>
    </w:lvl>
    <w:lvl w:ilvl="8" w:tplc="473657CC">
      <w:numFmt w:val="decimal"/>
      <w:lvlText w:val=""/>
      <w:lvlJc w:val="left"/>
    </w:lvl>
  </w:abstractNum>
  <w:abstractNum w:abstractNumId="1" w15:restartNumberingAfterBreak="0">
    <w:nsid w:val="31287EA1"/>
    <w:multiLevelType w:val="hybridMultilevel"/>
    <w:tmpl w:val="435CADDA"/>
    <w:lvl w:ilvl="0" w:tplc="F00CA3D8">
      <w:start w:val="1"/>
      <w:numFmt w:val="bullet"/>
      <w:lvlText w:val="●"/>
      <w:lvlJc w:val="left"/>
      <w:pPr>
        <w:ind w:left="720" w:hanging="360"/>
      </w:pPr>
    </w:lvl>
    <w:lvl w:ilvl="1" w:tplc="1F2646C0">
      <w:start w:val="1"/>
      <w:numFmt w:val="bullet"/>
      <w:lvlText w:val="○"/>
      <w:lvlJc w:val="left"/>
      <w:pPr>
        <w:ind w:left="1440" w:hanging="360"/>
      </w:pPr>
    </w:lvl>
    <w:lvl w:ilvl="2" w:tplc="A658FB62">
      <w:start w:val="1"/>
      <w:numFmt w:val="bullet"/>
      <w:lvlText w:val="■"/>
      <w:lvlJc w:val="left"/>
      <w:pPr>
        <w:ind w:left="2160" w:hanging="360"/>
      </w:pPr>
    </w:lvl>
    <w:lvl w:ilvl="3" w:tplc="A4AE45EE">
      <w:start w:val="1"/>
      <w:numFmt w:val="bullet"/>
      <w:lvlText w:val="●"/>
      <w:lvlJc w:val="left"/>
      <w:pPr>
        <w:ind w:left="2880" w:hanging="360"/>
      </w:pPr>
    </w:lvl>
    <w:lvl w:ilvl="4" w:tplc="35FEC274">
      <w:start w:val="1"/>
      <w:numFmt w:val="bullet"/>
      <w:lvlText w:val="○"/>
      <w:lvlJc w:val="left"/>
      <w:pPr>
        <w:ind w:left="3600" w:hanging="360"/>
      </w:pPr>
    </w:lvl>
    <w:lvl w:ilvl="5" w:tplc="7EDA1600">
      <w:start w:val="1"/>
      <w:numFmt w:val="bullet"/>
      <w:lvlText w:val="■"/>
      <w:lvlJc w:val="left"/>
      <w:pPr>
        <w:ind w:left="4320" w:hanging="360"/>
      </w:pPr>
    </w:lvl>
    <w:lvl w:ilvl="6" w:tplc="444212CC">
      <w:start w:val="1"/>
      <w:numFmt w:val="bullet"/>
      <w:lvlText w:val="●"/>
      <w:lvlJc w:val="left"/>
      <w:pPr>
        <w:ind w:left="5040" w:hanging="360"/>
      </w:pPr>
    </w:lvl>
    <w:lvl w:ilvl="7" w:tplc="6BCE3B74">
      <w:start w:val="1"/>
      <w:numFmt w:val="bullet"/>
      <w:lvlText w:val="●"/>
      <w:lvlJc w:val="left"/>
      <w:pPr>
        <w:ind w:left="5760" w:hanging="360"/>
      </w:pPr>
    </w:lvl>
    <w:lvl w:ilvl="8" w:tplc="555E5A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0216BD"/>
    <w:multiLevelType w:val="hybridMultilevel"/>
    <w:tmpl w:val="2386247C"/>
    <w:lvl w:ilvl="0" w:tplc="2EB05B90">
      <w:start w:val="1"/>
      <w:numFmt w:val="decimal"/>
      <w:lvlText w:val="%1."/>
      <w:lvlJc w:val="left"/>
      <w:pPr>
        <w:ind w:left="540" w:hanging="320"/>
      </w:pPr>
    </w:lvl>
    <w:lvl w:ilvl="1" w:tplc="15468B44">
      <w:numFmt w:val="decimal"/>
      <w:lvlText w:val=""/>
      <w:lvlJc w:val="left"/>
    </w:lvl>
    <w:lvl w:ilvl="2" w:tplc="538A370C">
      <w:numFmt w:val="decimal"/>
      <w:lvlText w:val=""/>
      <w:lvlJc w:val="left"/>
    </w:lvl>
    <w:lvl w:ilvl="3" w:tplc="3104C862">
      <w:numFmt w:val="decimal"/>
      <w:lvlText w:val=""/>
      <w:lvlJc w:val="left"/>
    </w:lvl>
    <w:lvl w:ilvl="4" w:tplc="D36A2FAE">
      <w:numFmt w:val="decimal"/>
      <w:lvlText w:val=""/>
      <w:lvlJc w:val="left"/>
    </w:lvl>
    <w:lvl w:ilvl="5" w:tplc="A22A8C5A">
      <w:numFmt w:val="decimal"/>
      <w:lvlText w:val=""/>
      <w:lvlJc w:val="left"/>
    </w:lvl>
    <w:lvl w:ilvl="6" w:tplc="DC66B03C">
      <w:numFmt w:val="decimal"/>
      <w:lvlText w:val=""/>
      <w:lvlJc w:val="left"/>
    </w:lvl>
    <w:lvl w:ilvl="7" w:tplc="7A00CF1C">
      <w:numFmt w:val="decimal"/>
      <w:lvlText w:val=""/>
      <w:lvlJc w:val="left"/>
    </w:lvl>
    <w:lvl w:ilvl="8" w:tplc="DA42ABEE">
      <w:numFmt w:val="decimal"/>
      <w:lvlText w:val=""/>
      <w:lvlJc w:val="left"/>
    </w:lvl>
  </w:abstractNum>
  <w:abstractNum w:abstractNumId="3" w15:restartNumberingAfterBreak="0">
    <w:nsid w:val="71784E6D"/>
    <w:multiLevelType w:val="hybridMultilevel"/>
    <w:tmpl w:val="FC422D94"/>
    <w:lvl w:ilvl="0" w:tplc="E378F214">
      <w:start w:val="1"/>
      <w:numFmt w:val="bullet"/>
      <w:lvlText w:val="•"/>
      <w:lvlJc w:val="left"/>
      <w:pPr>
        <w:ind w:left="540" w:hanging="280"/>
      </w:pPr>
    </w:lvl>
    <w:lvl w:ilvl="1" w:tplc="AAEC9520">
      <w:numFmt w:val="decimal"/>
      <w:lvlText w:val=""/>
      <w:lvlJc w:val="left"/>
    </w:lvl>
    <w:lvl w:ilvl="2" w:tplc="81786A40">
      <w:numFmt w:val="decimal"/>
      <w:lvlText w:val=""/>
      <w:lvlJc w:val="left"/>
    </w:lvl>
    <w:lvl w:ilvl="3" w:tplc="9E9AE136">
      <w:numFmt w:val="decimal"/>
      <w:lvlText w:val=""/>
      <w:lvlJc w:val="left"/>
    </w:lvl>
    <w:lvl w:ilvl="4" w:tplc="74FEB9AA">
      <w:numFmt w:val="decimal"/>
      <w:lvlText w:val=""/>
      <w:lvlJc w:val="left"/>
    </w:lvl>
    <w:lvl w:ilvl="5" w:tplc="4406EACA">
      <w:numFmt w:val="decimal"/>
      <w:lvlText w:val=""/>
      <w:lvlJc w:val="left"/>
    </w:lvl>
    <w:lvl w:ilvl="6" w:tplc="E0A2695C">
      <w:numFmt w:val="decimal"/>
      <w:lvlText w:val=""/>
      <w:lvlJc w:val="left"/>
    </w:lvl>
    <w:lvl w:ilvl="7" w:tplc="82522676">
      <w:numFmt w:val="decimal"/>
      <w:lvlText w:val=""/>
      <w:lvlJc w:val="left"/>
    </w:lvl>
    <w:lvl w:ilvl="8" w:tplc="F5C2C2AA">
      <w:numFmt w:val="decimal"/>
      <w:lvlText w:val=""/>
      <w:lvlJc w:val="left"/>
    </w:lvl>
  </w:abstractNum>
  <w:num w:numId="1" w16cid:durableId="375011271">
    <w:abstractNumId w:val="1"/>
    <w:lvlOverride w:ilvl="0">
      <w:startOverride w:val="1"/>
    </w:lvlOverride>
  </w:num>
  <w:num w:numId="2" w16cid:durableId="259799362">
    <w:abstractNumId w:val="0"/>
    <w:lvlOverride w:ilvl="0">
      <w:startOverride w:val="1"/>
    </w:lvlOverride>
  </w:num>
  <w:num w:numId="3" w16cid:durableId="1793206755">
    <w:abstractNumId w:val="3"/>
    <w:lvlOverride w:ilvl="0">
      <w:startOverride w:val="1"/>
    </w:lvlOverride>
  </w:num>
  <w:num w:numId="4" w16cid:durableId="13417419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F52"/>
    <w:rsid w:val="00152F52"/>
    <w:rsid w:val="00257A9C"/>
    <w:rsid w:val="0034563A"/>
    <w:rsid w:val="0070664F"/>
    <w:rsid w:val="00EA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6A45"/>
  <w15:docId w15:val="{BDC5884C-B192-4B90-AA44-4EF88062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5BA832"/>
      </w:pBdr>
      <w:spacing w:before="260" w:after="140"/>
      <w:outlineLvl w:val="0"/>
    </w:pPr>
    <w:rPr>
      <w:b/>
      <w:bCs/>
      <w:color w:val="1B3A5F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13294B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2456</Words>
  <Characters>14000</Characters>
  <Application>Microsoft Office Word</Application>
  <DocSecurity>0</DocSecurity>
  <Lines>116</Lines>
  <Paragraphs>32</Paragraphs>
  <ScaleCrop>false</ScaleCrop>
  <Company/>
  <LinksUpToDate>false</LinksUpToDate>
  <CharactersWithSpaces>16424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CMU Technical Write-Up &amp; High-Level System Architecture</dc:title>
  <dc:creator>BesTel Communications (Pvt) Ltd.</dc:creator>
  <cp:lastModifiedBy>ibrahim laptops</cp:lastModifiedBy>
  <cp:revision>3</cp:revision>
  <dcterms:created xsi:type="dcterms:W3CDTF">2026-06-02T21:42:00Z</dcterms:created>
  <dcterms:modified xsi:type="dcterms:W3CDTF">2026-06-02T21:46:00Z</dcterms:modified>
</cp:coreProperties>
</file>