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0"/>
          <w:szCs w:val="20"/>
        </w:rPr>
        <w:t xml:space="preserve">GRAND MEDICAL GROUP  |  GMG-CSV-URS-0001</w:t>
      </w:r>
    </w:p>
    <w:p>
      <w:pPr>
        <w:spacing w:after="60"/>
      </w:pPr>
      <w:r>
        <w:rPr>
          <w:rFonts w:ascii="Arial" w:cs="Arial" w:eastAsia="Arial" w:hAnsi="Arial"/>
          <w:b/>
          <w:bCs/>
          <w:sz w:val="32"/>
          <w:szCs w:val="32"/>
        </w:rPr>
        <w:t xml:space="preserve">ENTERPRISE DOCUMENT AND RECORDS MANAGEMENT SYSTEM</w:t>
      </w:r>
    </w:p>
    <w:p>
      <w:pPr>
        <w:spacing w:after="240"/>
      </w:pPr>
      <w:r>
        <w:rPr>
          <w:rFonts w:ascii="Arial" w:cs="Arial" w:eastAsia="Arial" w:hAnsi="Arial"/>
          <w:i/>
          <w:iCs/>
          <w:sz w:val="22"/>
          <w:szCs w:val="22"/>
        </w:rPr>
        <w:t xml:space="preserve">User Requirements Specification</w:t>
      </w:r>
    </w:p>
    <w:p>
      <w:pPr>
        <w:spacing w:after="160" w:before="320"/>
      </w:pPr>
      <w:r>
        <w:rPr>
          <w:rFonts w:ascii="Arial" w:cs="Arial" w:eastAsia="Arial" w:hAnsi="Arial"/>
          <w:b/>
          <w:bCs/>
          <w:color w:val="1F3864"/>
          <w:sz w:val="26"/>
          <w:szCs w:val="26"/>
        </w:rPr>
        <w:t xml:space="preserve">Control block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cantSplit/>
          <w:tblHeader/>
        </w:trPr>
        <w:tc>
          <w:tcPr>
            <w:tcW w:type="dxa" w:w="3000"/>
            <w:shd w:fill="1F3864" w:val="clear"/>
          </w:tcPr>
          <w:p>
            <w:pPr>
              <w:spacing w:after="40" w:before="40"/>
            </w:pPr>
            <w:r>
              <w:rPr>
                <w:rFonts w:ascii="Arial" w:cs="Arial" w:eastAsia="Arial" w:hAnsi="Arial"/>
                <w:b/>
                <w:bCs/>
                <w:color w:val="FFFFFF"/>
                <w:sz w:val="18"/>
                <w:szCs w:val="18"/>
              </w:rPr>
              <w:t xml:space="preserve">Control field</w:t>
            </w:r>
          </w:p>
        </w:tc>
        <w:tc>
          <w:tcPr>
            <w:tcW w:type="dxa" w:w="6600"/>
            <w:shd w:fill="1F3864" w:val="clear"/>
          </w:tcPr>
          <w:p>
            <w:pPr>
              <w:spacing w:after="40" w:before="40"/>
            </w:pPr>
            <w:r>
              <w:rPr>
                <w:rFonts w:ascii="Arial" w:cs="Arial" w:eastAsia="Arial" w:hAnsi="Arial"/>
                <w:b/>
                <w:bCs/>
                <w:color w:val="FFFFFF"/>
                <w:sz w:val="18"/>
                <w:szCs w:val="18"/>
              </w:rPr>
              <w:t xml:space="preserve">Value</w:t>
            </w:r>
          </w:p>
        </w:tc>
      </w:tr>
      <w:tr>
        <w:tc>
          <w:tcPr>
            <w:tcW w:type="dxa" w:w="3000"/>
            <w:shd w:fill="F2F2F2" w:val="clear"/>
          </w:tcPr>
          <w:p>
            <w:pPr>
              <w:spacing w:after="40" w:before="40"/>
            </w:pPr>
            <w:r>
              <w:rPr>
                <w:rFonts w:ascii="Arial" w:cs="Arial" w:eastAsia="Arial" w:hAnsi="Arial"/>
                <w:b/>
                <w:bCs/>
                <w:sz w:val="18"/>
                <w:szCs w:val="18"/>
              </w:rPr>
              <w:t xml:space="preserve">Document code</w:t>
            </w:r>
          </w:p>
        </w:tc>
        <w:tc>
          <w:tcPr>
            <w:tcW w:type="dxa" w:w="6600"/>
          </w:tcPr>
          <w:p>
            <w:pPr>
              <w:spacing w:after="40" w:before="40"/>
            </w:pPr>
            <w:r>
              <w:rPr>
                <w:rFonts w:ascii="Arial" w:cs="Arial" w:eastAsia="Arial" w:hAnsi="Arial"/>
                <w:sz w:val="18"/>
                <w:szCs w:val="18"/>
              </w:rPr>
              <w:t xml:space="preserve">GMG-CSV-URS-0001</w:t>
            </w:r>
          </w:p>
        </w:tc>
      </w:tr>
      <w:tr>
        <w:tc>
          <w:tcPr>
            <w:tcW w:type="dxa" w:w="3000"/>
            <w:shd w:fill="F2F2F2" w:val="clear"/>
          </w:tcPr>
          <w:p>
            <w:pPr>
              <w:spacing w:after="40" w:before="40"/>
            </w:pPr>
            <w:r>
              <w:rPr>
                <w:rFonts w:ascii="Arial" w:cs="Arial" w:eastAsia="Arial" w:hAnsi="Arial"/>
                <w:b/>
                <w:bCs/>
                <w:sz w:val="18"/>
                <w:szCs w:val="18"/>
              </w:rPr>
              <w:t xml:space="preserve">Permanent UID</w:t>
            </w:r>
          </w:p>
        </w:tc>
        <w:tc>
          <w:tcPr>
            <w:tcW w:type="dxa" w:w="6600"/>
          </w:tcPr>
          <w:p>
            <w:pPr>
              <w:spacing w:after="40" w:before="40"/>
            </w:pPr>
            <w:r>
              <w:rPr>
                <w:rFonts w:ascii="Arial" w:cs="Arial" w:eastAsia="Arial" w:hAnsi="Arial"/>
                <w:sz w:val="18"/>
                <w:szCs w:val="18"/>
              </w:rPr>
              <w:t xml:space="preserve">[To be allocated through GMG-QMS-LOG-0001]</w:t>
            </w:r>
          </w:p>
        </w:tc>
      </w:tr>
      <w:tr>
        <w:tc>
          <w:tcPr>
            <w:tcW w:type="dxa" w:w="3000"/>
            <w:shd w:fill="F2F2F2" w:val="clear"/>
          </w:tcPr>
          <w:p>
            <w:pPr>
              <w:spacing w:after="40" w:before="40"/>
            </w:pPr>
            <w:r>
              <w:rPr>
                <w:rFonts w:ascii="Arial" w:cs="Arial" w:eastAsia="Arial" w:hAnsi="Arial"/>
                <w:b/>
                <w:bCs/>
                <w:sz w:val="18"/>
                <w:szCs w:val="18"/>
              </w:rPr>
              <w:t xml:space="preserve">Version</w:t>
            </w:r>
          </w:p>
        </w:tc>
        <w:tc>
          <w:tcPr>
            <w:tcW w:type="dxa" w:w="6600"/>
          </w:tcPr>
          <w:p>
            <w:pPr>
              <w:spacing w:after="40" w:before="40"/>
            </w:pPr>
            <w:r>
              <w:rPr>
                <w:rFonts w:ascii="Arial" w:cs="Arial" w:eastAsia="Arial" w:hAnsi="Arial"/>
                <w:sz w:val="18"/>
                <w:szCs w:val="18"/>
              </w:rPr>
              <w:t xml:space="preserve">0.3</w:t>
            </w:r>
          </w:p>
        </w:tc>
      </w:tr>
      <w:tr>
        <w:tc>
          <w:tcPr>
            <w:tcW w:type="dxa" w:w="3000"/>
            <w:shd w:fill="F2F2F2" w:val="clear"/>
          </w:tcPr>
          <w:p>
            <w:pPr>
              <w:spacing w:after="40" w:before="40"/>
            </w:pPr>
            <w:r>
              <w:rPr>
                <w:rFonts w:ascii="Arial" w:cs="Arial" w:eastAsia="Arial" w:hAnsi="Arial"/>
                <w:b/>
                <w:bCs/>
                <w:sz w:val="18"/>
                <w:szCs w:val="18"/>
              </w:rPr>
              <w:t xml:space="preserve">Status</w:t>
            </w:r>
          </w:p>
        </w:tc>
        <w:tc>
          <w:tcPr>
            <w:tcW w:type="dxa" w:w="6600"/>
          </w:tcPr>
          <w:p>
            <w:pPr>
              <w:spacing w:after="40" w:before="40"/>
            </w:pPr>
            <w:r>
              <w:rPr>
                <w:rFonts w:ascii="Arial" w:cs="Arial" w:eastAsia="Arial" w:hAnsi="Arial"/>
                <w:sz w:val="18"/>
                <w:szCs w:val="18"/>
              </w:rPr>
              <w:t xml:space="preserve">DRAFT — not for operational use</w:t>
            </w:r>
          </w:p>
        </w:tc>
      </w:tr>
      <w:tr>
        <w:tc>
          <w:tcPr>
            <w:tcW w:type="dxa" w:w="3000"/>
            <w:shd w:fill="F2F2F2" w:val="clear"/>
          </w:tcPr>
          <w:p>
            <w:pPr>
              <w:spacing w:after="40" w:before="40"/>
            </w:pPr>
            <w:r>
              <w:rPr>
                <w:rFonts w:ascii="Arial" w:cs="Arial" w:eastAsia="Arial" w:hAnsi="Arial"/>
                <w:b/>
                <w:bCs/>
                <w:sz w:val="18"/>
                <w:szCs w:val="18"/>
              </w:rPr>
              <w:t xml:space="preserve">Document type</w:t>
            </w:r>
          </w:p>
        </w:tc>
        <w:tc>
          <w:tcPr>
            <w:tcW w:type="dxa" w:w="6600"/>
          </w:tcPr>
          <w:p>
            <w:pPr>
              <w:spacing w:after="40" w:before="40"/>
            </w:pPr>
            <w:r>
              <w:rPr>
                <w:rFonts w:ascii="Arial" w:cs="Arial" w:eastAsia="Arial" w:hAnsi="Arial"/>
                <w:sz w:val="18"/>
                <w:szCs w:val="18"/>
              </w:rPr>
              <w:t xml:space="preserve">URS — User Requirements Specification</w:t>
            </w:r>
          </w:p>
        </w:tc>
      </w:tr>
      <w:tr>
        <w:tc>
          <w:tcPr>
            <w:tcW w:type="dxa" w:w="3000"/>
            <w:shd w:fill="F2F2F2" w:val="clear"/>
          </w:tcPr>
          <w:p>
            <w:pPr>
              <w:spacing w:after="40" w:before="40"/>
            </w:pPr>
            <w:r>
              <w:rPr>
                <w:rFonts w:ascii="Arial" w:cs="Arial" w:eastAsia="Arial" w:hAnsi="Arial"/>
                <w:b/>
                <w:bCs/>
                <w:sz w:val="18"/>
                <w:szCs w:val="18"/>
              </w:rPr>
              <w:t xml:space="preserve">Criticality</w:t>
            </w:r>
          </w:p>
        </w:tc>
        <w:tc>
          <w:tcPr>
            <w:tcW w:type="dxa" w:w="6600"/>
          </w:tcPr>
          <w:p>
            <w:pPr>
              <w:spacing w:after="40" w:before="40"/>
            </w:pPr>
            <w:r>
              <w:rPr>
                <w:rFonts w:ascii="Arial" w:cs="Arial" w:eastAsia="Arial" w:hAnsi="Arial"/>
                <w:sz w:val="18"/>
                <w:szCs w:val="18"/>
              </w:rPr>
              <w:t xml:space="preserve">[To be confirmed under GMG-QMS-SOP-0001 before approval]</w:t>
            </w:r>
          </w:p>
        </w:tc>
      </w:tr>
      <w:tr>
        <w:tc>
          <w:tcPr>
            <w:tcW w:type="dxa" w:w="3000"/>
            <w:shd w:fill="F2F2F2" w:val="clear"/>
          </w:tcPr>
          <w:p>
            <w:pPr>
              <w:spacing w:after="40" w:before="40"/>
            </w:pPr>
            <w:r>
              <w:rPr>
                <w:rFonts w:ascii="Arial" w:cs="Arial" w:eastAsia="Arial" w:hAnsi="Arial"/>
                <w:b/>
                <w:bCs/>
                <w:sz w:val="18"/>
                <w:szCs w:val="18"/>
              </w:rPr>
              <w:t xml:space="preserve">Information classification</w:t>
            </w:r>
          </w:p>
        </w:tc>
        <w:tc>
          <w:tcPr>
            <w:tcW w:type="dxa" w:w="6600"/>
          </w:tcPr>
          <w:p>
            <w:pPr>
              <w:spacing w:after="40" w:before="40"/>
            </w:pPr>
            <w:r>
              <w:rPr>
                <w:rFonts w:ascii="Arial" w:cs="Arial" w:eastAsia="Arial" w:hAnsi="Arial"/>
                <w:sz w:val="18"/>
                <w:szCs w:val="18"/>
              </w:rPr>
              <w:t xml:space="preserve">[To be confirmed against the approved information-classification scheme]</w:t>
            </w:r>
          </w:p>
        </w:tc>
      </w:tr>
      <w:tr>
        <w:tc>
          <w:tcPr>
            <w:tcW w:type="dxa" w:w="3000"/>
            <w:shd w:fill="F2F2F2" w:val="clear"/>
          </w:tcPr>
          <w:p>
            <w:pPr>
              <w:spacing w:after="40" w:before="40"/>
            </w:pPr>
            <w:r>
              <w:rPr>
                <w:rFonts w:ascii="Arial" w:cs="Arial" w:eastAsia="Arial" w:hAnsi="Arial"/>
                <w:b/>
                <w:bCs/>
                <w:sz w:val="18"/>
                <w:szCs w:val="18"/>
              </w:rPr>
              <w:t xml:space="preserve">Process owner</w:t>
            </w:r>
          </w:p>
        </w:tc>
        <w:tc>
          <w:tcPr>
            <w:tcW w:type="dxa" w:w="6600"/>
          </w:tcPr>
          <w:p>
            <w:pPr>
              <w:spacing w:after="40" w:before="40"/>
            </w:pPr>
            <w:r>
              <w:rPr>
                <w:rFonts w:ascii="Arial" w:cs="Arial" w:eastAsia="Arial" w:hAnsi="Arial"/>
                <w:sz w:val="18"/>
                <w:szCs w:val="18"/>
              </w:rPr>
              <w:t xml:space="preserve">Group Quality Director</w:t>
            </w:r>
          </w:p>
        </w:tc>
      </w:tr>
      <w:tr>
        <w:tc>
          <w:tcPr>
            <w:tcW w:type="dxa" w:w="3000"/>
            <w:shd w:fill="F2F2F2" w:val="clear"/>
          </w:tcPr>
          <w:p>
            <w:pPr>
              <w:spacing w:after="40" w:before="40"/>
            </w:pPr>
            <w:r>
              <w:rPr>
                <w:rFonts w:ascii="Arial" w:cs="Arial" w:eastAsia="Arial" w:hAnsi="Arial"/>
                <w:b/>
                <w:bCs/>
                <w:sz w:val="18"/>
                <w:szCs w:val="18"/>
              </w:rPr>
              <w:t xml:space="preserve">Document custodian</w:t>
            </w:r>
          </w:p>
        </w:tc>
        <w:tc>
          <w:tcPr>
            <w:tcW w:type="dxa" w:w="6600"/>
          </w:tcPr>
          <w:p>
            <w:pPr>
              <w:spacing w:after="40" w:before="40"/>
            </w:pPr>
            <w:r>
              <w:rPr>
                <w:rFonts w:ascii="Arial" w:cs="Arial" w:eastAsia="Arial" w:hAnsi="Arial"/>
                <w:sz w:val="18"/>
                <w:szCs w:val="18"/>
              </w:rPr>
              <w:t xml:space="preserve">QA Documentation / IT</w:t>
            </w:r>
          </w:p>
        </w:tc>
      </w:tr>
      <w:tr>
        <w:tc>
          <w:tcPr>
            <w:tcW w:type="dxa" w:w="3000"/>
            <w:shd w:fill="F2F2F2" w:val="clear"/>
          </w:tcPr>
          <w:p>
            <w:pPr>
              <w:spacing w:after="40" w:before="40"/>
            </w:pPr>
            <w:r>
              <w:rPr>
                <w:rFonts w:ascii="Arial" w:cs="Arial" w:eastAsia="Arial" w:hAnsi="Arial"/>
                <w:b/>
                <w:bCs/>
                <w:sz w:val="18"/>
                <w:szCs w:val="18"/>
              </w:rPr>
              <w:t xml:space="preserve">Parent documents</w:t>
            </w:r>
          </w:p>
        </w:tc>
        <w:tc>
          <w:tcPr>
            <w:tcW w:type="dxa" w:w="6600"/>
          </w:tcPr>
          <w:p>
            <w:pPr>
              <w:spacing w:after="40" w:before="40"/>
            </w:pPr>
            <w:r>
              <w:rPr>
                <w:rFonts w:ascii="Arial" w:cs="Arial" w:eastAsia="Arial" w:hAnsi="Arial"/>
                <w:sz w:val="18"/>
                <w:szCs w:val="18"/>
              </w:rPr>
              <w:t xml:space="preserve">GMG-QMS-SOP-0001; GMG-QMS-STD-00NN; GMG-QMS-LOG-0007 v0.36</w:t>
            </w:r>
          </w:p>
        </w:tc>
      </w:tr>
      <w:tr>
        <w:tc>
          <w:tcPr>
            <w:tcW w:type="dxa" w:w="3000"/>
            <w:shd w:fill="F2F2F2" w:val="clear"/>
          </w:tcPr>
          <w:p>
            <w:pPr>
              <w:spacing w:after="40" w:before="40"/>
            </w:pPr>
            <w:r>
              <w:rPr>
                <w:rFonts w:ascii="Arial" w:cs="Arial" w:eastAsia="Arial" w:hAnsi="Arial"/>
                <w:b/>
                <w:bCs/>
                <w:sz w:val="18"/>
                <w:szCs w:val="18"/>
              </w:rPr>
              <w:t xml:space="preserve">Effective date</w:t>
            </w:r>
          </w:p>
        </w:tc>
        <w:tc>
          <w:tcPr>
            <w:tcW w:type="dxa" w:w="6600"/>
          </w:tcPr>
          <w:p>
            <w:pPr>
              <w:spacing w:after="40" w:before="40"/>
            </w:pPr>
            <w:r>
              <w:rPr>
                <w:rFonts w:ascii="Arial" w:cs="Arial" w:eastAsia="Arial" w:hAnsi="Arial"/>
                <w:sz w:val="18"/>
                <w:szCs w:val="18"/>
              </w:rPr>
              <w:t xml:space="preserve">[To be confirmed after approval and readiness closure]</w:t>
            </w:r>
          </w:p>
        </w:tc>
      </w:tr>
      <w:tr>
        <w:tc>
          <w:tcPr>
            <w:tcW w:type="dxa" w:w="3000"/>
            <w:shd w:fill="F2F2F2" w:val="clear"/>
          </w:tcPr>
          <w:p>
            <w:pPr>
              <w:spacing w:after="40" w:before="40"/>
            </w:pPr>
            <w:r>
              <w:rPr>
                <w:rFonts w:ascii="Arial" w:cs="Arial" w:eastAsia="Arial" w:hAnsi="Arial"/>
                <w:b/>
                <w:bCs/>
                <w:sz w:val="18"/>
                <w:szCs w:val="18"/>
              </w:rPr>
              <w:t xml:space="preserve">Review cycle</w:t>
            </w:r>
          </w:p>
        </w:tc>
        <w:tc>
          <w:tcPr>
            <w:tcW w:type="dxa" w:w="6600"/>
          </w:tcPr>
          <w:p>
            <w:pPr>
              <w:spacing w:after="40" w:before="40"/>
            </w:pPr>
            <w:r>
              <w:rPr>
                <w:rFonts w:ascii="Arial" w:cs="Arial" w:eastAsia="Arial" w:hAnsi="Arial"/>
                <w:sz w:val="18"/>
                <w:szCs w:val="18"/>
              </w:rPr>
              <w:t xml:space="preserve">24 months, and upon a defined trigger</w:t>
            </w:r>
          </w:p>
        </w:tc>
      </w:tr>
      <w:tr>
        <w:tc>
          <w:tcPr>
            <w:tcW w:type="dxa" w:w="3000"/>
            <w:shd w:fill="F2F2F2" w:val="clear"/>
          </w:tcPr>
          <w:p>
            <w:pPr>
              <w:spacing w:after="40" w:before="40"/>
            </w:pPr>
            <w:r>
              <w:rPr>
                <w:rFonts w:ascii="Arial" w:cs="Arial" w:eastAsia="Arial" w:hAnsi="Arial"/>
                <w:b/>
                <w:bCs/>
                <w:sz w:val="18"/>
                <w:szCs w:val="18"/>
              </w:rPr>
              <w:t xml:space="preserve">Governing language</w:t>
            </w:r>
          </w:p>
        </w:tc>
        <w:tc>
          <w:tcPr>
            <w:tcW w:type="dxa" w:w="6600"/>
          </w:tcPr>
          <w:p>
            <w:pPr>
              <w:spacing w:after="40" w:before="40"/>
            </w:pPr>
            <w:r>
              <w:rPr>
                <w:rFonts w:ascii="Arial" w:cs="Arial" w:eastAsia="Arial" w:hAnsi="Arial"/>
                <w:sz w:val="18"/>
                <w:szCs w:val="18"/>
              </w:rPr>
              <w:t xml:space="preserve">English (EN)</w:t>
            </w:r>
          </w:p>
        </w:tc>
      </w:tr>
      <w:tr>
        <w:tc>
          <w:tcPr>
            <w:tcW w:type="dxa" w:w="3000"/>
            <w:shd w:fill="F2F2F2" w:val="clear"/>
          </w:tcPr>
          <w:p>
            <w:pPr>
              <w:spacing w:after="40" w:before="40"/>
            </w:pPr>
            <w:r>
              <w:rPr>
                <w:rFonts w:ascii="Arial" w:cs="Arial" w:eastAsia="Arial" w:hAnsi="Arial"/>
                <w:b/>
                <w:bCs/>
                <w:sz w:val="18"/>
                <w:szCs w:val="18"/>
              </w:rPr>
              <w:t xml:space="preserve">Approved repository</w:t>
            </w:r>
          </w:p>
        </w:tc>
        <w:tc>
          <w:tcPr>
            <w:tcW w:type="dxa" w:w="6600"/>
          </w:tcPr>
          <w:p>
            <w:pPr>
              <w:spacing w:after="40" w:before="40"/>
            </w:pPr>
            <w:r>
              <w:rPr>
                <w:rFonts w:ascii="Arial" w:cs="Arial" w:eastAsia="Arial" w:hAnsi="Arial"/>
                <w:sz w:val="18"/>
                <w:szCs w:val="18"/>
              </w:rPr>
              <w:t xml:space="preserve">02_GQMS_Controlled_Repository/00_Group_Shared/08_CSV/01_Controlled_Documents/URS/Draft — see §17, this location does not yet exist</w:t>
            </w:r>
          </w:p>
        </w:tc>
      </w:tr>
      <w:tr>
        <w:tc>
          <w:tcPr>
            <w:tcW w:type="dxa" w:w="3000"/>
            <w:shd w:fill="F2F2F2" w:val="clear"/>
          </w:tcPr>
          <w:p>
            <w:pPr>
              <w:spacing w:after="40" w:before="40"/>
            </w:pPr>
            <w:r>
              <w:rPr>
                <w:rFonts w:ascii="Arial" w:cs="Arial" w:eastAsia="Arial" w:hAnsi="Arial"/>
                <w:b/>
                <w:bCs/>
                <w:sz w:val="18"/>
                <w:szCs w:val="18"/>
              </w:rPr>
              <w:t xml:space="preserve">Applies to</w:t>
            </w:r>
          </w:p>
        </w:tc>
        <w:tc>
          <w:tcPr>
            <w:tcW w:type="dxa" w:w="6600"/>
          </w:tcPr>
          <w:p>
            <w:pPr>
              <w:spacing w:after="40" w:before="40"/>
            </w:pPr>
            <w:r>
              <w:rPr>
                <w:rFonts w:ascii="Arial" w:cs="Arial" w:eastAsia="Arial" w:hAnsi="Arial"/>
                <w:sz w:val="18"/>
                <w:szCs w:val="18"/>
              </w:rPr>
              <w:t xml:space="preserve">The enterprise document and records management system for GMG_Enterprise_Repository</w:t>
            </w:r>
          </w:p>
        </w:tc>
      </w:tr>
    </w:tbl>
    <w:p>
      <w:pPr>
        <w:spacing w:after="160" w:before="320"/>
      </w:pPr>
      <w:r>
        <w:rPr>
          <w:rFonts w:ascii="Arial" w:cs="Arial" w:eastAsia="Arial" w:hAnsi="Arial"/>
          <w:b/>
          <w:bCs/>
          <w:color w:val="1F3864"/>
          <w:sz w:val="26"/>
          <w:szCs w:val="26"/>
        </w:rPr>
        <w:t xml:space="preserve">Approval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600"/>
        <w:gridCol w:w="1900"/>
        <w:gridCol w:w="1200"/>
      </w:tblGrid>
      <w:tr>
        <w:trPr>
          <w:cantSplit/>
          <w:tblHeader/>
        </w:trPr>
        <w:tc>
          <w:tcPr>
            <w:tcW w:type="dxa" w:w="2200"/>
            <w:shd w:fill="1F3864" w:val="clear"/>
          </w:tcPr>
          <w:p>
            <w:pPr>
              <w:spacing w:after="40" w:before="40"/>
            </w:pPr>
            <w:r>
              <w:rPr>
                <w:rFonts w:ascii="Arial" w:cs="Arial" w:eastAsia="Arial" w:hAnsi="Arial"/>
                <w:b/>
                <w:bCs/>
                <w:color w:val="FFFFFF"/>
                <w:sz w:val="18"/>
                <w:szCs w:val="18"/>
              </w:rPr>
              <w:t xml:space="preserve">Approval step</w:t>
            </w:r>
          </w:p>
        </w:tc>
        <w:tc>
          <w:tcPr>
            <w:tcW w:type="dxa" w:w="1700"/>
            <w:shd w:fill="1F3864" w:val="clear"/>
          </w:tcPr>
          <w:p>
            <w:pPr>
              <w:spacing w:after="40" w:before="40"/>
            </w:pPr>
            <w:r>
              <w:rPr>
                <w:rFonts w:ascii="Arial" w:cs="Arial" w:eastAsia="Arial" w:hAnsi="Arial"/>
                <w:b/>
                <w:bCs/>
                <w:color w:val="FFFFFF"/>
                <w:sz w:val="18"/>
                <w:szCs w:val="18"/>
              </w:rPr>
              <w:t xml:space="preserve">Name</w:t>
            </w:r>
          </w:p>
        </w:tc>
        <w:tc>
          <w:tcPr>
            <w:tcW w:type="dxa" w:w="2600"/>
            <w:shd w:fill="1F3864" w:val="clear"/>
          </w:tcPr>
          <w:p>
            <w:pPr>
              <w:spacing w:after="40" w:before="40"/>
            </w:pPr>
            <w:r>
              <w:rPr>
                <w:rFonts w:ascii="Arial" w:cs="Arial" w:eastAsia="Arial" w:hAnsi="Arial"/>
                <w:b/>
                <w:bCs/>
                <w:color w:val="FFFFFF"/>
                <w:sz w:val="18"/>
                <w:szCs w:val="18"/>
              </w:rPr>
              <w:t xml:space="preserve">Function</w:t>
            </w:r>
          </w:p>
        </w:tc>
        <w:tc>
          <w:tcPr>
            <w:tcW w:type="dxa" w:w="1900"/>
            <w:shd w:fill="1F3864" w:val="clear"/>
          </w:tcPr>
          <w:p>
            <w:pPr>
              <w:spacing w:after="40" w:before="40"/>
            </w:pPr>
            <w:r>
              <w:rPr>
                <w:rFonts w:ascii="Arial" w:cs="Arial" w:eastAsia="Arial" w:hAnsi="Arial"/>
                <w:b/>
                <w:bCs/>
                <w:color w:val="FFFFFF"/>
                <w:sz w:val="18"/>
                <w:szCs w:val="18"/>
              </w:rPr>
              <w:t xml:space="preserve">Signature / e-approval</w:t>
            </w:r>
          </w:p>
        </w:tc>
        <w:tc>
          <w:tcPr>
            <w:tcW w:type="dxa" w:w="1200"/>
            <w:shd w:fill="1F3864" w:val="clear"/>
          </w:tcPr>
          <w:p>
            <w:pPr>
              <w:spacing w:after="40" w:before="40"/>
            </w:pPr>
            <w:r>
              <w:rPr>
                <w:rFonts w:ascii="Arial" w:cs="Arial" w:eastAsia="Arial" w:hAnsi="Arial"/>
                <w:b/>
                <w:bCs/>
                <w:color w:val="FFFFFF"/>
                <w:sz w:val="18"/>
                <w:szCs w:val="18"/>
              </w:rPr>
              <w:t xml:space="preserve">Date</w:t>
            </w:r>
          </w:p>
        </w:tc>
      </w:tr>
      <w:tr>
        <w:tc>
          <w:tcPr>
            <w:tcW w:type="dxa" w:w="2200"/>
            <w:shd w:fill="F2F2F2" w:val="clear"/>
          </w:tcPr>
          <w:p>
            <w:pPr>
              <w:spacing w:after="40" w:before="40"/>
            </w:pPr>
            <w:r>
              <w:rPr>
                <w:rFonts w:ascii="Arial" w:cs="Arial" w:eastAsia="Arial" w:hAnsi="Arial"/>
                <w:b/>
                <w:bCs/>
                <w:sz w:val="18"/>
                <w:szCs w:val="18"/>
              </w:rPr>
              <w:t xml:space="preserve">Prepared by</w:t>
            </w:r>
          </w:p>
        </w:tc>
        <w:tc>
          <w:tcPr>
            <w:tcW w:type="dxa" w:w="1700"/>
          </w:tcPr>
          <w:p>
            <w:pPr>
              <w:spacing w:after="40" w:before="40"/>
            </w:pPr>
            <w:r>
              <w:rPr>
                <w:rFonts w:ascii="Arial" w:cs="Arial" w:eastAsia="Arial" w:hAnsi="Arial"/>
                <w:sz w:val="18"/>
                <w:szCs w:val="18"/>
              </w:rPr>
              <w:t xml:space="preserve">[To be confirmed]</w:t>
            </w:r>
          </w:p>
        </w:tc>
        <w:tc>
          <w:tcPr>
            <w:tcW w:type="dxa" w:w="2600"/>
          </w:tcPr>
          <w:p>
            <w:pPr>
              <w:spacing w:after="40" w:before="40"/>
            </w:pPr>
            <w:r>
              <w:rPr>
                <w:rFonts w:ascii="Arial" w:cs="Arial" w:eastAsia="Arial" w:hAnsi="Arial"/>
                <w:sz w:val="18"/>
                <w:szCs w:val="18"/>
              </w:rPr>
              <w:t xml:space="preserve">QA Documentation / IT</w:t>
            </w:r>
          </w:p>
        </w:tc>
        <w:tc>
          <w:tcPr>
            <w:tcW w:type="dxa" w:w="1900"/>
          </w:tcPr>
          <w:p>
            <w:pPr>
              <w:spacing w:after="40" w:before="40"/>
            </w:pPr>
            <w:r>
              <w:rPr>
                <w:rFonts w:ascii="Arial" w:cs="Arial" w:eastAsia="Arial" w:hAnsi="Arial"/>
                <w:sz w:val="18"/>
                <w:szCs w:val="18"/>
              </w:rPr>
              <w:t xml:space="preserve"/>
            </w:r>
          </w:p>
        </w:tc>
        <w:tc>
          <w:tcPr>
            <w:tcW w:type="dxa" w:w="1200"/>
          </w:tcPr>
          <w:p>
            <w:pPr>
              <w:spacing w:after="40" w:before="40"/>
            </w:pPr>
            <w:r>
              <w:rPr>
                <w:rFonts w:ascii="Arial" w:cs="Arial" w:eastAsia="Arial" w:hAnsi="Arial"/>
                <w:sz w:val="18"/>
                <w:szCs w:val="18"/>
              </w:rPr>
              <w:t xml:space="preserve"/>
            </w:r>
          </w:p>
        </w:tc>
      </w:tr>
      <w:tr>
        <w:tc>
          <w:tcPr>
            <w:tcW w:type="dxa" w:w="2200"/>
            <w:shd w:fill="F2F2F2" w:val="clear"/>
          </w:tcPr>
          <w:p>
            <w:pPr>
              <w:spacing w:after="40" w:before="40"/>
            </w:pPr>
            <w:r>
              <w:rPr>
                <w:rFonts w:ascii="Arial" w:cs="Arial" w:eastAsia="Arial" w:hAnsi="Arial"/>
                <w:b/>
                <w:bCs/>
                <w:sz w:val="18"/>
                <w:szCs w:val="18"/>
              </w:rPr>
              <w:t xml:space="preserve">Independent technical review</w:t>
            </w:r>
          </w:p>
        </w:tc>
        <w:tc>
          <w:tcPr>
            <w:tcW w:type="dxa" w:w="1700"/>
          </w:tcPr>
          <w:p>
            <w:pPr>
              <w:spacing w:after="40" w:before="40"/>
            </w:pPr>
            <w:r>
              <w:rPr>
                <w:rFonts w:ascii="Arial" w:cs="Arial" w:eastAsia="Arial" w:hAnsi="Arial"/>
                <w:sz w:val="18"/>
                <w:szCs w:val="18"/>
              </w:rPr>
              <w:t xml:space="preserve">[To be confirmed]</w:t>
            </w:r>
          </w:p>
        </w:tc>
        <w:tc>
          <w:tcPr>
            <w:tcW w:type="dxa" w:w="2600"/>
          </w:tcPr>
          <w:p>
            <w:pPr>
              <w:spacing w:after="40" w:before="40"/>
            </w:pPr>
            <w:r>
              <w:rPr>
                <w:rFonts w:ascii="Arial" w:cs="Arial" w:eastAsia="Arial" w:hAnsi="Arial"/>
                <w:sz w:val="18"/>
                <w:szCs w:val="18"/>
              </w:rPr>
              <w:t xml:space="preserve">Nominated reviewer under GMG-QMS-FRM-0021</w:t>
            </w:r>
          </w:p>
        </w:tc>
        <w:tc>
          <w:tcPr>
            <w:tcW w:type="dxa" w:w="1900"/>
          </w:tcPr>
          <w:p>
            <w:pPr>
              <w:spacing w:after="40" w:before="40"/>
            </w:pPr>
            <w:r>
              <w:rPr>
                <w:rFonts w:ascii="Arial" w:cs="Arial" w:eastAsia="Arial" w:hAnsi="Arial"/>
                <w:sz w:val="18"/>
                <w:szCs w:val="18"/>
              </w:rPr>
              <w:t xml:space="preserve"/>
            </w:r>
          </w:p>
        </w:tc>
        <w:tc>
          <w:tcPr>
            <w:tcW w:type="dxa" w:w="1200"/>
          </w:tcPr>
          <w:p>
            <w:pPr>
              <w:spacing w:after="40" w:before="40"/>
            </w:pPr>
            <w:r>
              <w:rPr>
                <w:rFonts w:ascii="Arial" w:cs="Arial" w:eastAsia="Arial" w:hAnsi="Arial"/>
                <w:sz w:val="18"/>
                <w:szCs w:val="18"/>
              </w:rPr>
              <w:t xml:space="preserve"/>
            </w:r>
          </w:p>
        </w:tc>
      </w:tr>
      <w:tr>
        <w:tc>
          <w:tcPr>
            <w:tcW w:type="dxa" w:w="2200"/>
            <w:shd w:fill="F2F2F2" w:val="clear"/>
          </w:tcPr>
          <w:p>
            <w:pPr>
              <w:spacing w:after="40" w:before="40"/>
            </w:pPr>
            <w:r>
              <w:rPr>
                <w:rFonts w:ascii="Arial" w:cs="Arial" w:eastAsia="Arial" w:hAnsi="Arial"/>
                <w:b/>
                <w:bCs/>
                <w:sz w:val="18"/>
                <w:szCs w:val="18"/>
              </w:rPr>
              <w:t xml:space="preserve">Reviewed by</w:t>
            </w:r>
          </w:p>
        </w:tc>
        <w:tc>
          <w:tcPr>
            <w:tcW w:type="dxa" w:w="1700"/>
          </w:tcPr>
          <w:p>
            <w:pPr>
              <w:spacing w:after="40" w:before="40"/>
            </w:pPr>
            <w:r>
              <w:rPr>
                <w:rFonts w:ascii="Arial" w:cs="Arial" w:eastAsia="Arial" w:hAnsi="Arial"/>
                <w:sz w:val="18"/>
                <w:szCs w:val="18"/>
              </w:rPr>
              <w:t xml:space="preserve">[To be confirmed]</w:t>
            </w:r>
          </w:p>
        </w:tc>
        <w:tc>
          <w:tcPr>
            <w:tcW w:type="dxa" w:w="2600"/>
          </w:tcPr>
          <w:p>
            <w:pPr>
              <w:spacing w:after="40" w:before="40"/>
            </w:pPr>
            <w:r>
              <w:rPr>
                <w:rFonts w:ascii="Arial" w:cs="Arial" w:eastAsia="Arial" w:hAnsi="Arial"/>
                <w:sz w:val="18"/>
                <w:szCs w:val="18"/>
              </w:rPr>
              <w:t xml:space="preserve">Group Quality Director</w:t>
            </w:r>
          </w:p>
        </w:tc>
        <w:tc>
          <w:tcPr>
            <w:tcW w:type="dxa" w:w="1900"/>
          </w:tcPr>
          <w:p>
            <w:pPr>
              <w:spacing w:after="40" w:before="40"/>
            </w:pPr>
            <w:r>
              <w:rPr>
                <w:rFonts w:ascii="Arial" w:cs="Arial" w:eastAsia="Arial" w:hAnsi="Arial"/>
                <w:sz w:val="18"/>
                <w:szCs w:val="18"/>
              </w:rPr>
              <w:t xml:space="preserve"/>
            </w:r>
          </w:p>
        </w:tc>
        <w:tc>
          <w:tcPr>
            <w:tcW w:type="dxa" w:w="1200"/>
          </w:tcPr>
          <w:p>
            <w:pPr>
              <w:spacing w:after="40" w:before="40"/>
            </w:pPr>
            <w:r>
              <w:rPr>
                <w:rFonts w:ascii="Arial" w:cs="Arial" w:eastAsia="Arial" w:hAnsi="Arial"/>
                <w:sz w:val="18"/>
                <w:szCs w:val="18"/>
              </w:rPr>
              <w:t xml:space="preserve"/>
            </w:r>
          </w:p>
        </w:tc>
      </w:tr>
      <w:tr>
        <w:tc>
          <w:tcPr>
            <w:tcW w:type="dxa" w:w="2200"/>
            <w:shd w:fill="F2F2F2" w:val="clear"/>
          </w:tcPr>
          <w:p>
            <w:pPr>
              <w:spacing w:after="40" w:before="40"/>
            </w:pPr>
            <w:r>
              <w:rPr>
                <w:rFonts w:ascii="Arial" w:cs="Arial" w:eastAsia="Arial" w:hAnsi="Arial"/>
                <w:b/>
                <w:bCs/>
                <w:sz w:val="18"/>
                <w:szCs w:val="18"/>
              </w:rPr>
              <w:t xml:space="preserve">Reviewed by</w:t>
            </w:r>
          </w:p>
        </w:tc>
        <w:tc>
          <w:tcPr>
            <w:tcW w:type="dxa" w:w="1700"/>
          </w:tcPr>
          <w:p>
            <w:pPr>
              <w:spacing w:after="40" w:before="40"/>
            </w:pPr>
            <w:r>
              <w:rPr>
                <w:rFonts w:ascii="Arial" w:cs="Arial" w:eastAsia="Arial" w:hAnsi="Arial"/>
                <w:sz w:val="18"/>
                <w:szCs w:val="18"/>
              </w:rPr>
              <w:t xml:space="preserve">[To be confirmed]</w:t>
            </w:r>
          </w:p>
        </w:tc>
        <w:tc>
          <w:tcPr>
            <w:tcW w:type="dxa" w:w="2600"/>
          </w:tcPr>
          <w:p>
            <w:pPr>
              <w:spacing w:after="40" w:before="40"/>
            </w:pPr>
            <w:r>
              <w:rPr>
                <w:rFonts w:ascii="Arial" w:cs="Arial" w:eastAsia="Arial" w:hAnsi="Arial"/>
                <w:sz w:val="18"/>
                <w:szCs w:val="18"/>
              </w:rPr>
              <w:t xml:space="preserve">IT / ISM / CSV, Legal and Data Protection as applicable</w:t>
            </w:r>
          </w:p>
        </w:tc>
        <w:tc>
          <w:tcPr>
            <w:tcW w:type="dxa" w:w="1900"/>
          </w:tcPr>
          <w:p>
            <w:pPr>
              <w:spacing w:after="40" w:before="40"/>
            </w:pPr>
            <w:r>
              <w:rPr>
                <w:rFonts w:ascii="Arial" w:cs="Arial" w:eastAsia="Arial" w:hAnsi="Arial"/>
                <w:sz w:val="18"/>
                <w:szCs w:val="18"/>
              </w:rPr>
              <w:t xml:space="preserve"/>
            </w:r>
          </w:p>
        </w:tc>
        <w:tc>
          <w:tcPr>
            <w:tcW w:type="dxa" w:w="1200"/>
          </w:tcPr>
          <w:p>
            <w:pPr>
              <w:spacing w:after="40" w:before="40"/>
            </w:pPr>
            <w:r>
              <w:rPr>
                <w:rFonts w:ascii="Arial" w:cs="Arial" w:eastAsia="Arial" w:hAnsi="Arial"/>
                <w:sz w:val="18"/>
                <w:szCs w:val="18"/>
              </w:rPr>
              <w:t xml:space="preserve"/>
            </w:r>
          </w:p>
        </w:tc>
      </w:tr>
      <w:tr>
        <w:tc>
          <w:tcPr>
            <w:tcW w:type="dxa" w:w="2200"/>
            <w:shd w:fill="F2F2F2" w:val="clear"/>
          </w:tcPr>
          <w:p>
            <w:pPr>
              <w:spacing w:after="40" w:before="40"/>
            </w:pPr>
            <w:r>
              <w:rPr>
                <w:rFonts w:ascii="Arial" w:cs="Arial" w:eastAsia="Arial" w:hAnsi="Arial"/>
                <w:b/>
                <w:bCs/>
                <w:sz w:val="18"/>
                <w:szCs w:val="18"/>
              </w:rPr>
              <w:t xml:space="preserve">Approved by</w:t>
            </w:r>
          </w:p>
        </w:tc>
        <w:tc>
          <w:tcPr>
            <w:tcW w:type="dxa" w:w="1700"/>
          </w:tcPr>
          <w:p>
            <w:pPr>
              <w:spacing w:after="40" w:before="40"/>
            </w:pPr>
            <w:r>
              <w:rPr>
                <w:rFonts w:ascii="Arial" w:cs="Arial" w:eastAsia="Arial" w:hAnsi="Arial"/>
                <w:sz w:val="18"/>
                <w:szCs w:val="18"/>
              </w:rPr>
              <w:t xml:space="preserve">[To be confirmed]</w:t>
            </w:r>
          </w:p>
        </w:tc>
        <w:tc>
          <w:tcPr>
            <w:tcW w:type="dxa" w:w="2600"/>
          </w:tcPr>
          <w:p>
            <w:pPr>
              <w:spacing w:after="40" w:before="40"/>
            </w:pPr>
            <w:r>
              <w:rPr>
                <w:rFonts w:ascii="Arial" w:cs="Arial" w:eastAsia="Arial" w:hAnsi="Arial"/>
                <w:sz w:val="18"/>
                <w:szCs w:val="18"/>
              </w:rPr>
              <w:t xml:space="preserve">Final approver under GMG-QMS-SOP-0001</w:t>
            </w:r>
          </w:p>
        </w:tc>
        <w:tc>
          <w:tcPr>
            <w:tcW w:type="dxa" w:w="1900"/>
          </w:tcPr>
          <w:p>
            <w:pPr>
              <w:spacing w:after="40" w:before="40"/>
            </w:pPr>
            <w:r>
              <w:rPr>
                <w:rFonts w:ascii="Arial" w:cs="Arial" w:eastAsia="Arial" w:hAnsi="Arial"/>
                <w:sz w:val="18"/>
                <w:szCs w:val="18"/>
              </w:rPr>
              <w:t xml:space="preserve"/>
            </w:r>
          </w:p>
        </w:tc>
        <w:tc>
          <w:tcPr>
            <w:tcW w:type="dxa" w:w="1200"/>
          </w:tcPr>
          <w:p>
            <w:pPr>
              <w:spacing w:after="40" w:before="40"/>
            </w:pPr>
            <w:r>
              <w:rPr>
                <w:rFonts w:ascii="Arial" w:cs="Arial" w:eastAsia="Arial" w:hAnsi="Arial"/>
                <w:sz w:val="18"/>
                <w:szCs w:val="18"/>
              </w:rPr>
              <w:t xml:space="preserve"/>
            </w:r>
          </w:p>
        </w:tc>
      </w:tr>
    </w:tbl>
    <w:p>
      <w:pPr>
        <w:spacing w:after="160" w:before="320"/>
      </w:pPr>
      <w:r>
        <w:rPr>
          <w:rFonts w:ascii="Arial" w:cs="Arial" w:eastAsia="Arial" w:hAnsi="Arial"/>
          <w:b/>
          <w:bCs/>
          <w:color w:val="1F3864"/>
          <w:sz w:val="26"/>
          <w:szCs w:val="26"/>
        </w:rPr>
        <w:t xml:space="preserve">Contents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8400"/>
      </w:tblGrid>
      <w:tr>
        <w:trPr>
          <w:cantSplit/>
          <w:tblHeader/>
        </w:trPr>
        <w:tc>
          <w:tcPr>
            <w:tcW w:type="dxa" w:w="1200"/>
            <w:shd w:fill="1F3864" w:val="clear"/>
          </w:tcPr>
          <w:p>
            <w:pPr>
              <w:spacing w:after="40" w:before="40"/>
            </w:pPr>
            <w:r>
              <w:rPr>
                <w:rFonts w:ascii="Arial" w:cs="Arial" w:eastAsia="Arial" w:hAnsi="Arial"/>
                <w:b/>
                <w:bCs/>
                <w:color w:val="FFFFFF"/>
                <w:sz w:val="18"/>
                <w:szCs w:val="18"/>
              </w:rPr>
              <w:t xml:space="preserve">Section</w:t>
            </w:r>
          </w:p>
        </w:tc>
        <w:tc>
          <w:tcPr>
            <w:tcW w:type="dxa" w:w="8400"/>
            <w:shd w:fill="1F3864" w:val="clear"/>
          </w:tcPr>
          <w:p>
            <w:pPr>
              <w:spacing w:after="40" w:before="40"/>
            </w:pPr>
            <w:r>
              <w:rPr>
                <w:rFonts w:ascii="Arial" w:cs="Arial" w:eastAsia="Arial" w:hAnsi="Arial"/>
                <w:b/>
                <w:bCs/>
                <w:color w:val="FFFFFF"/>
                <w:sz w:val="18"/>
                <w:szCs w:val="18"/>
              </w:rPr>
              <w:t xml:space="preserve">Title</w:t>
            </w:r>
          </w:p>
        </w:tc>
      </w:tr>
      <w:tr>
        <w:tc>
          <w:tcPr>
            <w:tcW w:type="dxa" w:w="1200"/>
            <w:shd w:fill="F2F2F2" w:val="clear"/>
          </w:tcPr>
          <w:p>
            <w:pPr>
              <w:spacing w:after="40" w:before="40"/>
            </w:pPr>
            <w:r>
              <w:rPr>
                <w:rFonts w:ascii="Arial" w:cs="Arial" w:eastAsia="Arial" w:hAnsi="Arial"/>
                <w:b/>
                <w:bCs/>
                <w:sz w:val="18"/>
                <w:szCs w:val="18"/>
              </w:rPr>
              <w:t xml:space="preserve">1</w:t>
            </w:r>
          </w:p>
        </w:tc>
        <w:tc>
          <w:tcPr>
            <w:tcW w:type="dxa" w:w="8400"/>
          </w:tcPr>
          <w:p>
            <w:pPr>
              <w:spacing w:after="40" w:before="40"/>
            </w:pPr>
            <w:r>
              <w:rPr>
                <w:rFonts w:ascii="Arial" w:cs="Arial" w:eastAsia="Arial" w:hAnsi="Arial"/>
                <w:sz w:val="18"/>
                <w:szCs w:val="18"/>
              </w:rPr>
              <w:t xml:space="preserve">Purpose, scope and method</w:t>
            </w:r>
          </w:p>
        </w:tc>
      </w:tr>
      <w:tr>
        <w:tc>
          <w:tcPr>
            <w:tcW w:type="dxa" w:w="1200"/>
            <w:shd w:fill="F2F2F2" w:val="clear"/>
          </w:tcPr>
          <w:p>
            <w:pPr>
              <w:spacing w:after="40" w:before="40"/>
            </w:pPr>
            <w:r>
              <w:rPr>
                <w:rFonts w:ascii="Arial" w:cs="Arial" w:eastAsia="Arial" w:hAnsi="Arial"/>
                <w:b/>
                <w:bCs/>
                <w:sz w:val="18"/>
                <w:szCs w:val="18"/>
              </w:rPr>
              <w:t xml:space="preserve">2</w:t>
            </w:r>
          </w:p>
        </w:tc>
        <w:tc>
          <w:tcPr>
            <w:tcW w:type="dxa" w:w="8400"/>
          </w:tcPr>
          <w:p>
            <w:pPr>
              <w:spacing w:after="40" w:before="40"/>
            </w:pPr>
            <w:r>
              <w:rPr>
                <w:rFonts w:ascii="Arial" w:cs="Arial" w:eastAsia="Arial" w:hAnsi="Arial"/>
                <w:sz w:val="18"/>
                <w:szCs w:val="18"/>
              </w:rPr>
              <w:t xml:space="preserve">Regulatory classification</w:t>
            </w:r>
          </w:p>
        </w:tc>
      </w:tr>
      <w:tr>
        <w:tc>
          <w:tcPr>
            <w:tcW w:type="dxa" w:w="1200"/>
            <w:shd w:fill="F2F2F2" w:val="clear"/>
          </w:tcPr>
          <w:p>
            <w:pPr>
              <w:spacing w:after="40" w:before="40"/>
            </w:pPr>
            <w:r>
              <w:rPr>
                <w:rFonts w:ascii="Arial" w:cs="Arial" w:eastAsia="Arial" w:hAnsi="Arial"/>
                <w:b/>
                <w:bCs/>
                <w:sz w:val="18"/>
                <w:szCs w:val="18"/>
              </w:rPr>
              <w:t xml:space="preserve">3</w:t>
            </w:r>
          </w:p>
        </w:tc>
        <w:tc>
          <w:tcPr>
            <w:tcW w:type="dxa" w:w="8400"/>
          </w:tcPr>
          <w:p>
            <w:pPr>
              <w:spacing w:after="40" w:before="40"/>
            </w:pPr>
            <w:r>
              <w:rPr>
                <w:rFonts w:ascii="Arial" w:cs="Arial" w:eastAsia="Arial" w:hAnsi="Arial"/>
                <w:sz w:val="18"/>
                <w:szCs w:val="18"/>
              </w:rPr>
              <w:t xml:space="preserve">System context and boundaries</w:t>
            </w:r>
          </w:p>
        </w:tc>
      </w:tr>
      <w:tr>
        <w:tc>
          <w:tcPr>
            <w:tcW w:type="dxa" w:w="1200"/>
            <w:shd w:fill="F2F2F2" w:val="clear"/>
          </w:tcPr>
          <w:p>
            <w:pPr>
              <w:spacing w:after="40" w:before="40"/>
            </w:pPr>
            <w:r>
              <w:rPr>
                <w:rFonts w:ascii="Arial" w:cs="Arial" w:eastAsia="Arial" w:hAnsi="Arial"/>
                <w:b/>
                <w:bCs/>
                <w:sz w:val="18"/>
                <w:szCs w:val="18"/>
              </w:rPr>
              <w:t xml:space="preserve">4</w:t>
            </w:r>
          </w:p>
        </w:tc>
        <w:tc>
          <w:tcPr>
            <w:tcW w:type="dxa" w:w="8400"/>
          </w:tcPr>
          <w:p>
            <w:pPr>
              <w:spacing w:after="40" w:before="40"/>
            </w:pPr>
            <w:r>
              <w:rPr>
                <w:rFonts w:ascii="Arial" w:cs="Arial" w:eastAsia="Arial" w:hAnsi="Arial"/>
                <w:sz w:val="18"/>
                <w:szCs w:val="18"/>
              </w:rPr>
              <w:t xml:space="preserve">Controlled vocabularies — the data model</w:t>
            </w:r>
          </w:p>
        </w:tc>
      </w:tr>
      <w:tr>
        <w:tc>
          <w:tcPr>
            <w:tcW w:type="dxa" w:w="1200"/>
            <w:shd w:fill="F2F2F2" w:val="clear"/>
          </w:tcPr>
          <w:p>
            <w:pPr>
              <w:spacing w:after="40" w:before="40"/>
            </w:pPr>
            <w:r>
              <w:rPr>
                <w:rFonts w:ascii="Arial" w:cs="Arial" w:eastAsia="Arial" w:hAnsi="Arial"/>
                <w:b/>
                <w:bCs/>
                <w:sz w:val="18"/>
                <w:szCs w:val="18"/>
              </w:rPr>
              <w:t xml:space="preserve">5</w:t>
            </w:r>
          </w:p>
        </w:tc>
        <w:tc>
          <w:tcPr>
            <w:tcW w:type="dxa" w:w="8400"/>
          </w:tcPr>
          <w:p>
            <w:pPr>
              <w:spacing w:after="40" w:before="40"/>
            </w:pPr>
            <w:r>
              <w:rPr>
                <w:rFonts w:ascii="Arial" w:cs="Arial" w:eastAsia="Arial" w:hAnsi="Arial"/>
                <w:sz w:val="18"/>
                <w:szCs w:val="18"/>
              </w:rPr>
              <w:t xml:space="preserve">Metadata-driven architecture</w:t>
            </w:r>
          </w:p>
        </w:tc>
      </w:tr>
      <w:tr>
        <w:tc>
          <w:tcPr>
            <w:tcW w:type="dxa" w:w="1200"/>
            <w:shd w:fill="F2F2F2" w:val="clear"/>
          </w:tcPr>
          <w:p>
            <w:pPr>
              <w:spacing w:after="40" w:before="40"/>
            </w:pPr>
            <w:r>
              <w:rPr>
                <w:rFonts w:ascii="Arial" w:cs="Arial" w:eastAsia="Arial" w:hAnsi="Arial"/>
                <w:b/>
                <w:bCs/>
                <w:sz w:val="18"/>
                <w:szCs w:val="18"/>
              </w:rPr>
              <w:t xml:space="preserve">6</w:t>
            </w:r>
          </w:p>
        </w:tc>
        <w:tc>
          <w:tcPr>
            <w:tcW w:type="dxa" w:w="8400"/>
          </w:tcPr>
          <w:p>
            <w:pPr>
              <w:spacing w:after="40" w:before="40"/>
            </w:pPr>
            <w:r>
              <w:rPr>
                <w:rFonts w:ascii="Arial" w:cs="Arial" w:eastAsia="Arial" w:hAnsi="Arial"/>
                <w:sz w:val="18"/>
                <w:szCs w:val="18"/>
              </w:rPr>
              <w:t xml:space="preserve">Controlled document lifecycle</w:t>
            </w:r>
          </w:p>
        </w:tc>
      </w:tr>
      <w:tr>
        <w:tc>
          <w:tcPr>
            <w:tcW w:type="dxa" w:w="1200"/>
            <w:shd w:fill="F2F2F2" w:val="clear"/>
          </w:tcPr>
          <w:p>
            <w:pPr>
              <w:spacing w:after="40" w:before="40"/>
            </w:pPr>
            <w:r>
              <w:rPr>
                <w:rFonts w:ascii="Arial" w:cs="Arial" w:eastAsia="Arial" w:hAnsi="Arial"/>
                <w:b/>
                <w:bCs/>
                <w:sz w:val="18"/>
                <w:szCs w:val="18"/>
              </w:rPr>
              <w:t xml:space="preserve">7</w:t>
            </w:r>
          </w:p>
        </w:tc>
        <w:tc>
          <w:tcPr>
            <w:tcW w:type="dxa" w:w="8400"/>
          </w:tcPr>
          <w:p>
            <w:pPr>
              <w:spacing w:after="40" w:before="40"/>
            </w:pPr>
            <w:r>
              <w:rPr>
                <w:rFonts w:ascii="Arial" w:cs="Arial" w:eastAsia="Arial" w:hAnsi="Arial"/>
                <w:sz w:val="18"/>
                <w:szCs w:val="18"/>
              </w:rPr>
              <w:t xml:space="preserve">Quality records</w:t>
            </w:r>
          </w:p>
        </w:tc>
      </w:tr>
      <w:tr>
        <w:tc>
          <w:tcPr>
            <w:tcW w:type="dxa" w:w="1200"/>
            <w:shd w:fill="F2F2F2" w:val="clear"/>
          </w:tcPr>
          <w:p>
            <w:pPr>
              <w:spacing w:after="40" w:before="40"/>
            </w:pPr>
            <w:r>
              <w:rPr>
                <w:rFonts w:ascii="Arial" w:cs="Arial" w:eastAsia="Arial" w:hAnsi="Arial"/>
                <w:b/>
                <w:bCs/>
                <w:sz w:val="18"/>
                <w:szCs w:val="18"/>
              </w:rPr>
              <w:t xml:space="preserve">8</w:t>
            </w:r>
          </w:p>
        </w:tc>
        <w:tc>
          <w:tcPr>
            <w:tcW w:type="dxa" w:w="8400"/>
          </w:tcPr>
          <w:p>
            <w:pPr>
              <w:spacing w:after="40" w:before="40"/>
            </w:pPr>
            <w:r>
              <w:rPr>
                <w:rFonts w:ascii="Arial" w:cs="Arial" w:eastAsia="Arial" w:hAnsi="Arial"/>
                <w:sz w:val="18"/>
                <w:szCs w:val="18"/>
              </w:rPr>
              <w:t xml:space="preserve">Documents with components</w:t>
            </w:r>
          </w:p>
        </w:tc>
      </w:tr>
      <w:tr>
        <w:tc>
          <w:tcPr>
            <w:tcW w:type="dxa" w:w="1200"/>
            <w:shd w:fill="F2F2F2" w:val="clear"/>
          </w:tcPr>
          <w:p>
            <w:pPr>
              <w:spacing w:after="40" w:before="40"/>
            </w:pPr>
            <w:r>
              <w:rPr>
                <w:rFonts w:ascii="Arial" w:cs="Arial" w:eastAsia="Arial" w:hAnsi="Arial"/>
                <w:b/>
                <w:bCs/>
                <w:sz w:val="18"/>
                <w:szCs w:val="18"/>
              </w:rPr>
              <w:t xml:space="preserve">9</w:t>
            </w:r>
          </w:p>
        </w:tc>
        <w:tc>
          <w:tcPr>
            <w:tcW w:type="dxa" w:w="8400"/>
          </w:tcPr>
          <w:p>
            <w:pPr>
              <w:spacing w:after="40" w:before="40"/>
            </w:pPr>
            <w:r>
              <w:rPr>
                <w:rFonts w:ascii="Arial" w:cs="Arial" w:eastAsia="Arial" w:hAnsi="Arial"/>
                <w:sz w:val="18"/>
                <w:szCs w:val="18"/>
              </w:rPr>
              <w:t xml:space="preserve">Register integrity and ingestion</w:t>
            </w:r>
          </w:p>
        </w:tc>
      </w:tr>
      <w:tr>
        <w:tc>
          <w:tcPr>
            <w:tcW w:type="dxa" w:w="1200"/>
            <w:shd w:fill="F2F2F2" w:val="clear"/>
          </w:tcPr>
          <w:p>
            <w:pPr>
              <w:spacing w:after="40" w:before="40"/>
            </w:pPr>
            <w:r>
              <w:rPr>
                <w:rFonts w:ascii="Arial" w:cs="Arial" w:eastAsia="Arial" w:hAnsi="Arial"/>
                <w:b/>
                <w:bCs/>
                <w:sz w:val="18"/>
                <w:szCs w:val="18"/>
              </w:rPr>
              <w:t xml:space="preserve">10</w:t>
            </w:r>
          </w:p>
        </w:tc>
        <w:tc>
          <w:tcPr>
            <w:tcW w:type="dxa" w:w="8400"/>
          </w:tcPr>
          <w:p>
            <w:pPr>
              <w:spacing w:after="40" w:before="40"/>
            </w:pPr>
            <w:r>
              <w:rPr>
                <w:rFonts w:ascii="Arial" w:cs="Arial" w:eastAsia="Arial" w:hAnsi="Arial"/>
                <w:sz w:val="18"/>
                <w:szCs w:val="18"/>
              </w:rPr>
              <w:t xml:space="preserve">Access control</w:t>
            </w:r>
          </w:p>
        </w:tc>
      </w:tr>
      <w:tr>
        <w:tc>
          <w:tcPr>
            <w:tcW w:type="dxa" w:w="1200"/>
            <w:shd w:fill="F2F2F2" w:val="clear"/>
          </w:tcPr>
          <w:p>
            <w:pPr>
              <w:spacing w:after="40" w:before="40"/>
            </w:pPr>
            <w:r>
              <w:rPr>
                <w:rFonts w:ascii="Arial" w:cs="Arial" w:eastAsia="Arial" w:hAnsi="Arial"/>
                <w:b/>
                <w:bCs/>
                <w:sz w:val="18"/>
                <w:szCs w:val="18"/>
              </w:rPr>
              <w:t xml:space="preserve">11</w:t>
            </w:r>
          </w:p>
        </w:tc>
        <w:tc>
          <w:tcPr>
            <w:tcW w:type="dxa" w:w="8400"/>
          </w:tcPr>
          <w:p>
            <w:pPr>
              <w:spacing w:after="40" w:before="40"/>
            </w:pPr>
            <w:r>
              <w:rPr>
                <w:rFonts w:ascii="Arial" w:cs="Arial" w:eastAsia="Arial" w:hAnsi="Arial"/>
                <w:sz w:val="18"/>
                <w:szCs w:val="18"/>
              </w:rPr>
              <w:t xml:space="preserve">Legal hold, retention and disposition</w:t>
            </w:r>
          </w:p>
        </w:tc>
      </w:tr>
      <w:tr>
        <w:tc>
          <w:tcPr>
            <w:tcW w:type="dxa" w:w="1200"/>
            <w:shd w:fill="F2F2F2" w:val="clear"/>
          </w:tcPr>
          <w:p>
            <w:pPr>
              <w:spacing w:after="40" w:before="40"/>
            </w:pPr>
            <w:r>
              <w:rPr>
                <w:rFonts w:ascii="Arial" w:cs="Arial" w:eastAsia="Arial" w:hAnsi="Arial"/>
                <w:b/>
                <w:bCs/>
                <w:sz w:val="18"/>
                <w:szCs w:val="18"/>
              </w:rPr>
              <w:t xml:space="preserve">12</w:t>
            </w:r>
          </w:p>
        </w:tc>
        <w:tc>
          <w:tcPr>
            <w:tcW w:type="dxa" w:w="8400"/>
          </w:tcPr>
          <w:p>
            <w:pPr>
              <w:spacing w:after="40" w:before="40"/>
            </w:pPr>
            <w:r>
              <w:rPr>
                <w:rFonts w:ascii="Arial" w:cs="Arial" w:eastAsia="Arial" w:hAnsi="Arial"/>
                <w:sz w:val="18"/>
                <w:szCs w:val="18"/>
              </w:rPr>
              <w:t xml:space="preserve">Audit trail and data integrity</w:t>
            </w:r>
          </w:p>
        </w:tc>
      </w:tr>
      <w:tr>
        <w:tc>
          <w:tcPr>
            <w:tcW w:type="dxa" w:w="1200"/>
            <w:shd w:fill="F2F2F2" w:val="clear"/>
          </w:tcPr>
          <w:p>
            <w:pPr>
              <w:spacing w:after="40" w:before="40"/>
            </w:pPr>
            <w:r>
              <w:rPr>
                <w:rFonts w:ascii="Arial" w:cs="Arial" w:eastAsia="Arial" w:hAnsi="Arial"/>
                <w:b/>
                <w:bCs/>
                <w:sz w:val="18"/>
                <w:szCs w:val="18"/>
              </w:rPr>
              <w:t xml:space="preserve">13</w:t>
            </w:r>
          </w:p>
        </w:tc>
        <w:tc>
          <w:tcPr>
            <w:tcW w:type="dxa" w:w="8400"/>
          </w:tcPr>
          <w:p>
            <w:pPr>
              <w:spacing w:after="40" w:before="40"/>
            </w:pPr>
            <w:r>
              <w:rPr>
                <w:rFonts w:ascii="Arial" w:cs="Arial" w:eastAsia="Arial" w:hAnsi="Arial"/>
                <w:sz w:val="18"/>
                <w:szCs w:val="18"/>
              </w:rPr>
              <w:t xml:space="preserve">Search, navigation and retrieval</w:t>
            </w:r>
          </w:p>
        </w:tc>
      </w:tr>
      <w:tr>
        <w:tc>
          <w:tcPr>
            <w:tcW w:type="dxa" w:w="1200"/>
            <w:shd w:fill="F2F2F2" w:val="clear"/>
          </w:tcPr>
          <w:p>
            <w:pPr>
              <w:spacing w:after="40" w:before="40"/>
            </w:pPr>
            <w:r>
              <w:rPr>
                <w:rFonts w:ascii="Arial" w:cs="Arial" w:eastAsia="Arial" w:hAnsi="Arial"/>
                <w:b/>
                <w:bCs/>
                <w:sz w:val="18"/>
                <w:szCs w:val="18"/>
              </w:rPr>
              <w:t xml:space="preserve">14</w:t>
            </w:r>
          </w:p>
        </w:tc>
        <w:tc>
          <w:tcPr>
            <w:tcW w:type="dxa" w:w="8400"/>
          </w:tcPr>
          <w:p>
            <w:pPr>
              <w:spacing w:after="40" w:before="40"/>
            </w:pPr>
            <w:r>
              <w:rPr>
                <w:rFonts w:ascii="Arial" w:cs="Arial" w:eastAsia="Arial" w:hAnsi="Arial"/>
                <w:sz w:val="18"/>
                <w:szCs w:val="18"/>
              </w:rPr>
              <w:t xml:space="preserve">Migration</w:t>
            </w:r>
          </w:p>
        </w:tc>
      </w:tr>
      <w:tr>
        <w:tc>
          <w:tcPr>
            <w:tcW w:type="dxa" w:w="1200"/>
            <w:shd w:fill="F2F2F2" w:val="clear"/>
          </w:tcPr>
          <w:p>
            <w:pPr>
              <w:spacing w:after="40" w:before="40"/>
            </w:pPr>
            <w:r>
              <w:rPr>
                <w:rFonts w:ascii="Arial" w:cs="Arial" w:eastAsia="Arial" w:hAnsi="Arial"/>
                <w:b/>
                <w:bCs/>
                <w:sz w:val="18"/>
                <w:szCs w:val="18"/>
              </w:rPr>
              <w:t xml:space="preserve">15</w:t>
            </w:r>
          </w:p>
        </w:tc>
        <w:tc>
          <w:tcPr>
            <w:tcW w:type="dxa" w:w="8400"/>
          </w:tcPr>
          <w:p>
            <w:pPr>
              <w:spacing w:after="40" w:before="40"/>
            </w:pPr>
            <w:r>
              <w:rPr>
                <w:rFonts w:ascii="Arial" w:cs="Arial" w:eastAsia="Arial" w:hAnsi="Arial"/>
                <w:sz w:val="18"/>
                <w:szCs w:val="18"/>
              </w:rPr>
              <w:t xml:space="preserve">Interfaces and system-of-record precedence</w:t>
            </w:r>
          </w:p>
        </w:tc>
      </w:tr>
      <w:tr>
        <w:tc>
          <w:tcPr>
            <w:tcW w:type="dxa" w:w="1200"/>
            <w:shd w:fill="F2F2F2" w:val="clear"/>
          </w:tcPr>
          <w:p>
            <w:pPr>
              <w:spacing w:after="40" w:before="40"/>
            </w:pPr>
            <w:r>
              <w:rPr>
                <w:rFonts w:ascii="Arial" w:cs="Arial" w:eastAsia="Arial" w:hAnsi="Arial"/>
                <w:b/>
                <w:bCs/>
                <w:sz w:val="18"/>
                <w:szCs w:val="18"/>
              </w:rPr>
              <w:t xml:space="preserve">16</w:t>
            </w:r>
          </w:p>
        </w:tc>
        <w:tc>
          <w:tcPr>
            <w:tcW w:type="dxa" w:w="8400"/>
          </w:tcPr>
          <w:p>
            <w:pPr>
              <w:spacing w:after="40" w:before="40"/>
            </w:pPr>
            <w:r>
              <w:rPr>
                <w:rFonts w:ascii="Arial" w:cs="Arial" w:eastAsia="Arial" w:hAnsi="Arial"/>
                <w:sz w:val="18"/>
                <w:szCs w:val="18"/>
              </w:rPr>
              <w:t xml:space="preserve">Non-functional requirements</w:t>
            </w:r>
          </w:p>
        </w:tc>
      </w:tr>
      <w:tr>
        <w:tc>
          <w:tcPr>
            <w:tcW w:type="dxa" w:w="1200"/>
            <w:shd w:fill="F2F2F2" w:val="clear"/>
          </w:tcPr>
          <w:p>
            <w:pPr>
              <w:spacing w:after="40" w:before="40"/>
            </w:pPr>
            <w:r>
              <w:rPr>
                <w:rFonts w:ascii="Arial" w:cs="Arial" w:eastAsia="Arial" w:hAnsi="Arial"/>
                <w:b/>
                <w:bCs/>
                <w:sz w:val="18"/>
                <w:szCs w:val="18"/>
              </w:rPr>
              <w:t xml:space="preserve">17</w:t>
            </w:r>
          </w:p>
        </w:tc>
        <w:tc>
          <w:tcPr>
            <w:tcW w:type="dxa" w:w="8400"/>
          </w:tcPr>
          <w:p>
            <w:pPr>
              <w:spacing w:after="40" w:before="40"/>
            </w:pPr>
            <w:r>
              <w:rPr>
                <w:rFonts w:ascii="Arial" w:cs="Arial" w:eastAsia="Arial" w:hAnsi="Arial"/>
                <w:sz w:val="18"/>
                <w:szCs w:val="18"/>
              </w:rPr>
              <w:t xml:space="preserve">Validation and qualification</w:t>
            </w:r>
          </w:p>
        </w:tc>
      </w:tr>
      <w:tr>
        <w:tc>
          <w:tcPr>
            <w:tcW w:type="dxa" w:w="1200"/>
            <w:shd w:fill="F2F2F2" w:val="clear"/>
          </w:tcPr>
          <w:p>
            <w:pPr>
              <w:spacing w:after="40" w:before="40"/>
            </w:pPr>
            <w:r>
              <w:rPr>
                <w:rFonts w:ascii="Arial" w:cs="Arial" w:eastAsia="Arial" w:hAnsi="Arial"/>
                <w:b/>
                <w:bCs/>
                <w:sz w:val="18"/>
                <w:szCs w:val="18"/>
              </w:rPr>
              <w:t xml:space="preserve">18</w:t>
            </w:r>
          </w:p>
        </w:tc>
        <w:tc>
          <w:tcPr>
            <w:tcW w:type="dxa" w:w="8400"/>
          </w:tcPr>
          <w:p>
            <w:pPr>
              <w:spacing w:after="40" w:before="40"/>
            </w:pPr>
            <w:r>
              <w:rPr>
                <w:rFonts w:ascii="Arial" w:cs="Arial" w:eastAsia="Arial" w:hAnsi="Arial"/>
                <w:sz w:val="18"/>
                <w:szCs w:val="18"/>
              </w:rPr>
              <w:t xml:space="preserve">Out of scope</w:t>
            </w:r>
          </w:p>
        </w:tc>
      </w:tr>
      <w:tr>
        <w:tc>
          <w:tcPr>
            <w:tcW w:type="dxa" w:w="1200"/>
            <w:shd w:fill="F2F2F2" w:val="clear"/>
          </w:tcPr>
          <w:p>
            <w:pPr>
              <w:spacing w:after="40" w:before="40"/>
            </w:pPr>
            <w:r>
              <w:rPr>
                <w:rFonts w:ascii="Arial" w:cs="Arial" w:eastAsia="Arial" w:hAnsi="Arial"/>
                <w:b/>
                <w:bCs/>
                <w:sz w:val="18"/>
                <w:szCs w:val="18"/>
              </w:rPr>
              <w:t xml:space="preserve">19</w:t>
            </w:r>
          </w:p>
        </w:tc>
        <w:tc>
          <w:tcPr>
            <w:tcW w:type="dxa" w:w="8400"/>
          </w:tcPr>
          <w:p>
            <w:pPr>
              <w:spacing w:after="40" w:before="40"/>
            </w:pPr>
            <w:r>
              <w:rPr>
                <w:rFonts w:ascii="Arial" w:cs="Arial" w:eastAsia="Arial" w:hAnsi="Arial"/>
                <w:sz w:val="18"/>
                <w:szCs w:val="18"/>
              </w:rPr>
              <w:t xml:space="preserve">Open decisions required before build</w:t>
            </w:r>
          </w:p>
        </w:tc>
      </w:tr>
      <w:tr>
        <w:tc>
          <w:tcPr>
            <w:tcW w:type="dxa" w:w="1200"/>
            <w:shd w:fill="F2F2F2" w:val="clear"/>
          </w:tcPr>
          <w:p>
            <w:pPr>
              <w:spacing w:after="40" w:before="40"/>
            </w:pPr>
            <w:r>
              <w:rPr>
                <w:rFonts w:ascii="Arial" w:cs="Arial" w:eastAsia="Arial" w:hAnsi="Arial"/>
                <w:b/>
                <w:bCs/>
                <w:sz w:val="18"/>
                <w:szCs w:val="18"/>
              </w:rPr>
              <w:t xml:space="preserve">20</w:t>
            </w:r>
          </w:p>
        </w:tc>
        <w:tc>
          <w:tcPr>
            <w:tcW w:type="dxa" w:w="8400"/>
          </w:tcPr>
          <w:p>
            <w:pPr>
              <w:spacing w:after="40" w:before="40"/>
            </w:pPr>
            <w:r>
              <w:rPr>
                <w:rFonts w:ascii="Arial" w:cs="Arial" w:eastAsia="Arial" w:hAnsi="Arial"/>
                <w:sz w:val="18"/>
                <w:szCs w:val="18"/>
              </w:rPr>
              <w:t xml:space="preserve">Related controlled documents</w:t>
            </w:r>
          </w:p>
        </w:tc>
      </w:tr>
      <w:tr>
        <w:tc>
          <w:tcPr>
            <w:tcW w:type="dxa" w:w="1200"/>
            <w:shd w:fill="F2F2F2" w:val="clear"/>
          </w:tcPr>
          <w:p>
            <w:pPr>
              <w:spacing w:after="40" w:before="40"/>
            </w:pPr>
            <w:r>
              <w:rPr>
                <w:rFonts w:ascii="Arial" w:cs="Arial" w:eastAsia="Arial" w:hAnsi="Arial"/>
                <w:b/>
                <w:bCs/>
                <w:sz w:val="18"/>
                <w:szCs w:val="18"/>
              </w:rPr>
              <w:t xml:space="preserve">21</w:t>
            </w:r>
          </w:p>
        </w:tc>
        <w:tc>
          <w:tcPr>
            <w:tcW w:type="dxa" w:w="8400"/>
          </w:tcPr>
          <w:p>
            <w:pPr>
              <w:spacing w:after="40" w:before="40"/>
            </w:pPr>
            <w:r>
              <w:rPr>
                <w:rFonts w:ascii="Arial" w:cs="Arial" w:eastAsia="Arial" w:hAnsi="Arial"/>
                <w:sz w:val="18"/>
                <w:szCs w:val="18"/>
              </w:rPr>
              <w:t xml:space="preserve">Conditions before operational use</w:t>
            </w:r>
          </w:p>
        </w:tc>
      </w:tr>
      <w:tr>
        <w:tc>
          <w:tcPr>
            <w:tcW w:type="dxa" w:w="1200"/>
            <w:shd w:fill="F2F2F2" w:val="clear"/>
          </w:tcPr>
          <w:p>
            <w:pPr>
              <w:spacing w:after="40" w:before="40"/>
            </w:pPr>
            <w:r>
              <w:rPr>
                <w:rFonts w:ascii="Arial" w:cs="Arial" w:eastAsia="Arial" w:hAnsi="Arial"/>
                <w:b/>
                <w:bCs/>
                <w:sz w:val="18"/>
                <w:szCs w:val="18"/>
              </w:rPr>
              <w:t xml:space="preserve">22</w:t>
            </w:r>
          </w:p>
        </w:tc>
        <w:tc>
          <w:tcPr>
            <w:tcW w:type="dxa" w:w="8400"/>
          </w:tcPr>
          <w:p>
            <w:pPr>
              <w:spacing w:after="40" w:before="40"/>
            </w:pPr>
            <w:r>
              <w:rPr>
                <w:rFonts w:ascii="Arial" w:cs="Arial" w:eastAsia="Arial" w:hAnsi="Arial"/>
                <w:sz w:val="18"/>
                <w:szCs w:val="18"/>
              </w:rPr>
              <w:t xml:space="preserve">Revision history</w:t>
            </w:r>
          </w:p>
        </w:tc>
      </w:tr>
    </w:tbl>
    <w:p>
      <w:r>
        <w:br w:type="page"/>
      </w:r>
    </w:p>
    <w:p>
      <w:pPr>
        <w:spacing w:after="160" w:before="320"/>
      </w:pPr>
      <w:r>
        <w:rPr>
          <w:rFonts w:ascii="Arial" w:cs="Arial" w:eastAsia="Arial" w:hAnsi="Arial"/>
          <w:b/>
          <w:bCs/>
          <w:color w:val="1F3864"/>
          <w:sz w:val="26"/>
          <w:szCs w:val="26"/>
        </w:rPr>
        <w:t xml:space="preserve">1. Purpose, scope and method</w:t>
      </w:r>
    </w:p>
    <w:p>
      <w:pPr>
        <w:spacing w:after="120"/>
      </w:pPr>
      <w:r>
        <w:rPr>
          <w:rFonts w:ascii="Arial" w:cs="Arial" w:eastAsia="Arial" w:hAnsi="Arial"/>
          <w:sz w:val="20"/>
          <w:szCs w:val="20"/>
        </w:rPr>
        <w:t xml:space="preserve">This specification states what the enterprise document and records management system must do. It is written for IT, for the supplier who will build or configure the system, and for the QA and validation roles who will accept it.</w:t>
      </w:r>
    </w:p>
    <w:p>
      <w:pPr>
        <w:spacing w:after="120"/>
      </w:pPr>
      <w:r>
        <w:rPr>
          <w:rFonts w:ascii="Arial" w:cs="Arial" w:eastAsia="Arial" w:hAnsi="Arial"/>
          <w:sz w:val="20"/>
          <w:szCs w:val="20"/>
        </w:rPr>
        <w:t xml:space="preserve">The scope is the whole of GMG_Enterprise_Repository: 13 governed zones, 7 legal-entity containers, 19 GQMS domains, 15 business functions, and the controlled documents and quality records they hold. The authoritative data model is GMG-QMS-LOG-0007, currently v0.36 with 4,385 registered objects — 4,384 folders and one control file, which is annexed to this specification and is not restated in it.</w:t>
      </w:r>
    </w:p>
    <w:p>
      <w:pPr>
        <w:spacing w:after="120"/>
      </w:pPr>
      <w:r>
        <w:rPr>
          <w:rFonts w:ascii="Arial" w:cs="Arial" w:eastAsia="Arial" w:hAnsi="Arial"/>
          <w:sz w:val="20"/>
          <w:szCs w:val="20"/>
        </w:rPr>
        <w:t xml:space="preserve">Requirements are numbered URS-nnn and carry a priority: M (mandatory — the system is not acceptable without it), S (should — required unless a documented reason prevents it), C (could). Each requirement is written to be testable. A requirement that cannot be demonstrated by test does not belong in this document.</w:t>
      </w:r>
    </w:p>
    <w:p>
      <w:pPr>
        <w:spacing w:after="120"/>
      </w:pPr>
      <w:r>
        <w:rPr>
          <w:rFonts w:ascii="Arial" w:cs="Arial" w:eastAsia="Arial" w:hAnsi="Arial"/>
          <w:sz w:val="20"/>
          <w:szCs w:val="20"/>
        </w:rPr>
        <w:t xml:space="preserve">Method note. Many requirements below cite a specific condition found in the present estate during migration analysis. Those citations are deliberate: each one is a defect that the current folder-based approach permits, and the requirement exists to make it impossible rather than merely discouraged.</w:t>
      </w:r>
    </w:p>
    <w:p>
      <w:pPr>
        <w:spacing w:after="160" w:before="320"/>
      </w:pPr>
      <w:r>
        <w:rPr>
          <w:rFonts w:ascii="Arial" w:cs="Arial" w:eastAsia="Arial" w:hAnsi="Arial"/>
          <w:b/>
          <w:bCs/>
          <w:color w:val="1F3864"/>
          <w:sz w:val="26"/>
          <w:szCs w:val="26"/>
        </w:rPr>
        <w:t xml:space="preserve">2. Regulatory classification and intended use</w:t>
      </w:r>
    </w:p>
    <w:p>
      <w:pPr>
        <w:spacing w:after="120"/>
      </w:pPr>
      <w:r>
        <w:rPr>
          <w:rFonts w:ascii="Arial" w:cs="Arial" w:eastAsia="Arial" w:hAnsi="Arial"/>
          <w:sz w:val="20"/>
          <w:szCs w:val="20"/>
        </w:rPr>
        <w:t xml:space="preserve">The estate holds pharmacovigilance, GMP and GDP records. Applicability must be established by a documented intended-use assessment, not asserted.</w:t>
      </w:r>
    </w:p>
    <w:p>
      <w:pPr>
        <w:spacing w:after="120"/>
      </w:pPr>
      <w:r>
        <w:rPr>
          <w:rFonts w:ascii="Arial" w:cs="Arial" w:eastAsia="Arial" w:hAnsi="Arial"/>
          <w:sz w:val="20"/>
          <w:szCs w:val="20"/>
        </w:rPr>
        <w:t xml:space="preserve">EU GMP Annex 11 applies where the system is used within activities covered by EU GMP or GDP. That assessment follows GMG's approved GxP intended-use assessment for the system, and is not settled by the presence of GxP records alone.</w:t>
      </w:r>
    </w:p>
    <w:p>
      <w:pPr>
        <w:spacing w:after="120"/>
      </w:pPr>
      <w:r>
        <w:rPr>
          <w:rFonts w:ascii="Arial" w:cs="Arial" w:eastAsia="Arial" w:hAnsi="Arial"/>
          <w:sz w:val="20"/>
          <w:szCs w:val="20"/>
        </w:rPr>
        <w:t xml:space="preserve">21 CFR Part 11 applies to electronic records that are required to be maintained or submitted under an FDA predicate rule. Supporting a submission is not by itself the test; the question is whether a predicate rule requires the record. Where no FDA predicate rule applies to a record class, Part 11 does not apply to it, and the assessment shall record that conclusion per record class rather than for the system as a whole.</w:t>
      </w:r>
    </w:p>
    <w:p>
      <w:pPr>
        <w:spacing w:after="120"/>
      </w:pPr>
      <w:r>
        <w:rPr>
          <w:rFonts w:ascii="Arial" w:cs="Arial" w:eastAsia="Arial" w:hAnsi="Arial"/>
          <w:sz w:val="20"/>
          <w:szCs w:val="20"/>
        </w:rPr>
        <w:t xml:space="preserve">This classification must be confirmed by the Group Quality Director before supplier selection. It is not a formality: it determines validation effort, audit-trail and electronic-signature requirements, supplier assessment depth, and cost. Discovering it after contract is the single most expensive mistake available in this project.</w:t>
      </w:r>
    </w:p>
    <w:p>
      <w:pPr>
        <w:spacing w:after="120"/>
      </w:pPr>
      <w:r>
        <w:rPr>
          <w:rFonts w:ascii="Arial" w:cs="Arial" w:eastAsia="Arial" w:hAnsi="Arial"/>
          <w:b/>
          <w:bCs/>
          <w:color w:val="C00000"/>
          <w:sz w:val="20"/>
          <w:szCs w:val="20"/>
        </w:rPr>
        <w:t xml:space="preserve">DECISION REQUIRED — documented GxP intended-use assessment, and Part 11 predicate-rule applicability determined per record class. Owner: Group Quality Director with CSV. Blocks: supplier selection.</w:t>
      </w:r>
    </w:p>
    <w:p>
      <w:pPr>
        <w:spacing w:after="160" w:before="320"/>
      </w:pPr>
      <w:r>
        <w:rPr>
          <w:rFonts w:ascii="Arial" w:cs="Arial" w:eastAsia="Arial" w:hAnsi="Arial"/>
          <w:b/>
          <w:bCs/>
          <w:color w:val="1F3864"/>
          <w:sz w:val="26"/>
          <w:szCs w:val="26"/>
        </w:rPr>
        <w:t xml:space="preserve">3. System context and boundaries</w:t>
      </w:r>
    </w:p>
    <w:p>
      <w:pPr>
        <w:spacing w:after="120"/>
      </w:pPr>
      <w:r>
        <w:rPr>
          <w:rFonts w:ascii="Arial" w:cs="Arial" w:eastAsia="Arial" w:hAnsi="Arial"/>
          <w:sz w:val="20"/>
          <w:szCs w:val="20"/>
        </w:rPr>
        <w:t xml:space="preserve">The system is the intended system of record for controlled documents and quality records that have no other approved system of record. It is not a replacement for ERP, CRM, HRIS, RIM, PV or QMS systems where those are already authoritative.</w:t>
      </w:r>
    </w:p>
    <w:p>
      <w:pPr>
        <w:spacing w:after="120"/>
      </w:pPr>
      <w:r>
        <w:rPr>
          <w:rFonts w:ascii="Arial" w:cs="Arial" w:eastAsia="Arial" w:hAnsi="Arial"/>
          <w:sz w:val="20"/>
          <w:szCs w:val="20"/>
        </w:rPr>
        <w:t xml:space="preserve">The present folder tree at GMG_Enterprise_Repository is a migration source and a transitional artefact. It is not the specification. Reproducing its 5,345 folders inside a database would purchase the limitations of a filesystem a second time, and would carry forward the defects this specification exists to remove.</w:t>
      </w:r>
    </w:p>
    <w:p>
      <w:pPr>
        <w:spacing w:after="160" w:before="320"/>
      </w:pPr>
      <w:r>
        <w:rPr>
          <w:rFonts w:ascii="Arial" w:cs="Arial" w:eastAsia="Arial" w:hAnsi="Arial"/>
          <w:b/>
          <w:bCs/>
          <w:color w:val="1F3864"/>
          <w:sz w:val="26"/>
          <w:szCs w:val="26"/>
        </w:rPr>
        <w:t xml:space="preserve">4. Controlled vocabularies — the data model</w:t>
      </w:r>
    </w:p>
    <w:p>
      <w:pPr>
        <w:spacing w:after="120"/>
      </w:pPr>
      <w:r>
        <w:rPr>
          <w:rFonts w:ascii="Arial" w:cs="Arial" w:eastAsia="Arial" w:hAnsi="Arial"/>
          <w:sz w:val="20"/>
          <w:szCs w:val="20"/>
        </w:rPr>
        <w:t xml:space="preserve">Every classification value below is a controlled identifier owned by GMG. None may be free-typed by a user, and none may be extended without change control. The authoritative source for all of them is GMG-QMS-LOG-0007, currently at v0.36 with 4,385 registered objects — 4,384 folders and one control file.</w:t>
      </w:r>
    </w:p>
    <w:p>
      <w:pPr>
        <w:spacing w:after="120"/>
      </w:pPr>
      <w:r>
        <w:rPr>
          <w:rFonts w:ascii="Arial" w:cs="Arial" w:eastAsia="Arial" w:hAnsi="Arial"/>
          <w:sz w:val="20"/>
          <w:szCs w:val="20"/>
        </w:rPr>
        <w:t xml:space="preserve">The vocabularies are: 13 governed zones; 7 exact entity containers; 19 GQMS domains; 15 BPG business functions; the controlled-document TYPE codes per domain; 6 lifecycle states; 32 permission profiles; 7 quality-record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URS-010</w:t>
            </w:r>
          </w:p>
        </w:tc>
        <w:tc>
          <w:tcPr>
            <w:tcW w:type="dxa" w:w="7700"/>
          </w:tcPr>
          <w:p>
            <w:pPr>
              <w:spacing w:after="40" w:before="40"/>
            </w:pPr>
            <w:r>
              <w:rPr>
                <w:rFonts w:ascii="Arial" w:cs="Arial" w:eastAsia="Arial" w:hAnsi="Arial"/>
                <w:sz w:val="18"/>
                <w:szCs w:val="18"/>
              </w:rPr>
              <w:t xml:space="preserve">The system shall hold each controlled vocabulary as a configurable reference table, not as hard-coded values or folder names.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URS-011</w:t>
            </w:r>
          </w:p>
        </w:tc>
        <w:tc>
          <w:tcPr>
            <w:tcW w:type="dxa" w:w="7700"/>
          </w:tcPr>
          <w:p>
            <w:pPr>
              <w:spacing w:after="40" w:before="40"/>
            </w:pPr>
            <w:r>
              <w:rPr>
                <w:rFonts w:ascii="Arial" w:cs="Arial" w:eastAsia="Arial" w:hAnsi="Arial"/>
                <w:sz w:val="18"/>
                <w:szCs w:val="18"/>
              </w:rPr>
              <w:t xml:space="preserve">Each vocabulary entry shall carry a code, a display name, an owner, a status and an effective date.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URS-012</w:t>
            </w:r>
          </w:p>
        </w:tc>
        <w:tc>
          <w:tcPr>
            <w:tcW w:type="dxa" w:w="7700"/>
          </w:tcPr>
          <w:p>
            <w:pPr>
              <w:spacing w:after="40" w:before="40"/>
            </w:pPr>
            <w:r>
              <w:rPr>
                <w:rFonts w:ascii="Arial" w:cs="Arial" w:eastAsia="Arial" w:hAnsi="Arial"/>
                <w:sz w:val="18"/>
                <w:szCs w:val="18"/>
              </w:rPr>
              <w:t xml:space="preserve">Each vocabulary shall be version-controlled, and every change to it shall be subject to change control and recorded in the audit trail.</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URS-013</w:t>
            </w:r>
          </w:p>
        </w:tc>
        <w:tc>
          <w:tcPr>
            <w:tcW w:type="dxa" w:w="7700"/>
          </w:tcPr>
          <w:p>
            <w:pPr>
              <w:spacing w:after="40" w:before="40"/>
            </w:pPr>
            <w:r>
              <w:rPr>
                <w:rFonts w:ascii="Arial" w:cs="Arial" w:eastAsia="Arial" w:hAnsi="Arial"/>
                <w:sz w:val="18"/>
                <w:szCs w:val="18"/>
              </w:rPr>
              <w:t xml:space="preserve">Where a vocabulary exists for a field, the system shall not permit free-text entry in that field.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URS-014</w:t>
            </w:r>
          </w:p>
        </w:tc>
        <w:tc>
          <w:tcPr>
            <w:tcW w:type="dxa" w:w="7700"/>
          </w:tcPr>
          <w:p>
            <w:pPr>
              <w:spacing w:after="40" w:before="40"/>
            </w:pPr>
            <w:r>
              <w:rPr>
                <w:rFonts w:ascii="Arial" w:cs="Arial" w:eastAsia="Arial" w:hAnsi="Arial"/>
                <w:sz w:val="18"/>
                <w:szCs w:val="18"/>
              </w:rPr>
              <w:t xml:space="preserve">The system shall support initial import of all vocabularies from GMG-QMS-LOG-0007 and shall reconcile against it on demand.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URS-015</w:t>
            </w:r>
          </w:p>
        </w:tc>
        <w:tc>
          <w:tcPr>
            <w:tcW w:type="dxa" w:w="7700"/>
          </w:tcPr>
          <w:p>
            <w:pPr>
              <w:spacing w:after="40" w:before="40"/>
            </w:pPr>
            <w:r>
              <w:rPr>
                <w:rFonts w:ascii="Arial" w:cs="Arial" w:eastAsia="Arial" w:hAnsi="Arial"/>
                <w:sz w:val="18"/>
                <w:szCs w:val="18"/>
              </w:rPr>
              <w:t xml:space="preserve">The system shall enforce that a TYPE code is valid only for the domains in which it is approved. TYPE sets differ by domain and are not universal.</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URS-016</w:t>
            </w:r>
          </w:p>
        </w:tc>
        <w:tc>
          <w:tcPr>
            <w:tcW w:type="dxa" w:w="7700"/>
          </w:tcPr>
          <w:p>
            <w:pPr>
              <w:spacing w:after="40" w:before="40"/>
            </w:pPr>
            <w:r>
              <w:rPr>
                <w:rFonts w:ascii="Arial" w:cs="Arial" w:eastAsia="Arial" w:hAnsi="Arial"/>
                <w:sz w:val="18"/>
                <w:szCs w:val="18"/>
              </w:rPr>
              <w:t xml:space="preserve">An entity code, once allocated, shall never be reassigned to a different legal entity. Retiring an entity shall retire its code permanently; the code shall remain resolvable and shall stay bound to that entity's historical records for the life of those records.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URS-016a</w:t>
            </w:r>
          </w:p>
        </w:tc>
        <w:tc>
          <w:tcPr>
            <w:tcW w:type="dxa" w:w="7700"/>
          </w:tcPr>
          <w:p>
            <w:pPr>
              <w:spacing w:after="40" w:before="40"/>
            </w:pPr>
            <w:r>
              <w:rPr>
                <w:rFonts w:ascii="Arial" w:cs="Arial" w:eastAsia="Arial" w:hAnsi="Arial"/>
                <w:sz w:val="18"/>
                <w:szCs w:val="18"/>
              </w:rPr>
              <w:t xml:space="preserve">A new legal entity shall receive a new stable code. The system shall reject allocation of a code that is retired or in use.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URS-016b</w:t>
            </w:r>
          </w:p>
        </w:tc>
        <w:tc>
          <w:tcPr>
            <w:tcW w:type="dxa" w:w="7700"/>
          </w:tcPr>
          <w:p>
            <w:pPr>
              <w:spacing w:after="40" w:before="40"/>
            </w:pPr>
            <w:r>
              <w:rPr>
                <w:rFonts w:ascii="Arial" w:cs="Arial" w:eastAsia="Arial" w:hAnsi="Arial"/>
                <w:sz w:val="18"/>
                <w:szCs w:val="18"/>
              </w:rPr>
              <w:t xml:space="preserve">The system shall record entity status — active, retired — with effective dates, and shall resolve historical references to a retired entity without ambiguity.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URS-017</w:t>
            </w:r>
          </w:p>
        </w:tc>
        <w:tc>
          <w:tcPr>
            <w:tcW w:type="dxa" w:w="7700"/>
          </w:tcPr>
          <w:p>
            <w:pPr>
              <w:spacing w:after="40" w:before="40"/>
            </w:pPr>
            <w:r>
              <w:rPr>
                <w:rFonts w:ascii="Arial" w:cs="Arial" w:eastAsia="Arial" w:hAnsi="Arial"/>
                <w:sz w:val="18"/>
                <w:szCs w:val="18"/>
              </w:rPr>
              <w:t xml:space="preserve">The system shall not permit two vocabulary entries in the same set to share a code, or to differ only by case or by leading or trailing separators.</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5. Metadata-driven architecture</w:t>
      </w:r>
    </w:p>
    <w:p>
      <w:pPr>
        <w:spacing w:after="120"/>
      </w:pPr>
      <w:r>
        <w:rPr>
          <w:rFonts w:ascii="Arial" w:cs="Arial" w:eastAsia="Arial" w:hAnsi="Arial"/>
          <w:sz w:val="20"/>
          <w:szCs w:val="20"/>
        </w:rPr>
        <w:t xml:space="preserve">This section is the core requirement of the specification. It exists because the present estate stores classification in the folder path, which is the only mechanism a filesystem offers. The replacement system must not repeat that.</w:t>
      </w:r>
    </w:p>
    <w:p>
      <w:pPr>
        <w:spacing w:after="120"/>
      </w:pPr>
      <w:r>
        <w:rPr>
          <w:rFonts w:ascii="Arial" w:cs="Arial" w:eastAsia="Arial" w:hAnsi="Arial"/>
          <w:sz w:val="20"/>
          <w:szCs w:val="20"/>
        </w:rPr>
        <w:t xml:space="preserve">A concrete illustration. GMG-HR-SOP-0001 v0.1 Draft currently exists at 02_GQMS_Controlled_Repository/00_Group_Shared/30_BPG/HR/01_Controlled_Documents/SOP/Draft/. In the target system the same facts are six metadata values, and the path is calculated from them whenever a path is needed.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URS-020</w:t>
            </w:r>
          </w:p>
        </w:tc>
        <w:tc>
          <w:tcPr>
            <w:tcW w:type="dxa" w:w="7700"/>
          </w:tcPr>
          <w:p>
            <w:pPr>
              <w:spacing w:after="40" w:before="40"/>
            </w:pPr>
            <w:r>
              <w:rPr>
                <w:rFonts w:ascii="Arial" w:cs="Arial" w:eastAsia="Arial" w:hAnsi="Arial"/>
                <w:sz w:val="18"/>
                <w:szCs w:val="18"/>
              </w:rPr>
              <w:t xml:space="preserve">The storage location of an object shall not encode its classification. Entity, domain, type, lifecycle state and record class shall be metadata attributes.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URS-021</w:t>
            </w:r>
          </w:p>
        </w:tc>
        <w:tc>
          <w:tcPr>
            <w:tcW w:type="dxa" w:w="7700"/>
          </w:tcPr>
          <w:p>
            <w:pPr>
              <w:spacing w:after="40" w:before="40"/>
            </w:pPr>
            <w:r>
              <w:rPr>
                <w:rFonts w:ascii="Arial" w:cs="Arial" w:eastAsia="Arial" w:hAnsi="Arial"/>
                <w:sz w:val="18"/>
                <w:szCs w:val="18"/>
              </w:rPr>
              <w:t xml:space="preserve">The system shall derive a display path and an export path from metadata on demand.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URS-022</w:t>
            </w:r>
          </w:p>
        </w:tc>
        <w:tc>
          <w:tcPr>
            <w:tcW w:type="dxa" w:w="7700"/>
          </w:tcPr>
          <w:p>
            <w:pPr>
              <w:spacing w:after="40" w:before="40"/>
            </w:pPr>
            <w:r>
              <w:rPr>
                <w:rFonts w:ascii="Arial" w:cs="Arial" w:eastAsia="Arial" w:hAnsi="Arial"/>
                <w:sz w:val="18"/>
                <w:szCs w:val="18"/>
              </w:rPr>
              <w:t xml:space="preserve">Changing a classification attribute shall not move, copy or duplicate the stored object, and shall not invalidate any link or reference to it.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URS-023</w:t>
            </w:r>
          </w:p>
        </w:tc>
        <w:tc>
          <w:tcPr>
            <w:tcW w:type="dxa" w:w="7700"/>
          </w:tcPr>
          <w:p>
            <w:pPr>
              <w:spacing w:after="40" w:before="40"/>
            </w:pPr>
            <w:r>
              <w:rPr>
                <w:rFonts w:ascii="Arial" w:cs="Arial" w:eastAsia="Arial" w:hAnsi="Arial"/>
                <w:sz w:val="18"/>
                <w:szCs w:val="18"/>
              </w:rPr>
              <w:t xml:space="preserve">Links and references to an object shall remain valid for the life of the object regardless of any change to its classification or lifecycle state.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URS-024</w:t>
            </w:r>
          </w:p>
        </w:tc>
        <w:tc>
          <w:tcPr>
            <w:tcW w:type="dxa" w:w="7700"/>
          </w:tcPr>
          <w:p>
            <w:pPr>
              <w:spacing w:after="40" w:before="40"/>
            </w:pPr>
            <w:r>
              <w:rPr>
                <w:rFonts w:ascii="Arial" w:cs="Arial" w:eastAsia="Arial" w:hAnsi="Arial"/>
                <w:sz w:val="18"/>
                <w:szCs w:val="18"/>
              </w:rPr>
              <w:t xml:space="preserve">The system shall generate filesystem-compatible export paths with a configurable root, and shall warn where a generated absolute path would exceed 255 characters. Measured worst case in the present estate is 302 characters.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URS-025</w:t>
            </w:r>
          </w:p>
        </w:tc>
        <w:tc>
          <w:tcPr>
            <w:tcW w:type="dxa" w:w="7700"/>
          </w:tcPr>
          <w:p>
            <w:pPr>
              <w:spacing w:after="40" w:before="40"/>
            </w:pPr>
            <w:r>
              <w:rPr>
                <w:rFonts w:ascii="Arial" w:cs="Arial" w:eastAsia="Arial" w:hAnsi="Arial"/>
                <w:sz w:val="18"/>
                <w:szCs w:val="18"/>
              </w:rPr>
              <w:t xml:space="preserve">Export path segments shall be restricted to ASCII letters, digits, hyphen and underscore. Full Unicode shall be supported in metadata and in display names.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URS-026</w:t>
            </w:r>
          </w:p>
        </w:tc>
        <w:tc>
          <w:tcPr>
            <w:tcW w:type="dxa" w:w="7700"/>
          </w:tcPr>
          <w:p>
            <w:pPr>
              <w:spacing w:after="40" w:before="40"/>
            </w:pPr>
            <w:r>
              <w:rPr>
                <w:rFonts w:ascii="Arial" w:cs="Arial" w:eastAsia="Arial" w:hAnsi="Arial"/>
                <w:sz w:val="18"/>
                <w:szCs w:val="18"/>
              </w:rPr>
              <w:t xml:space="preserve">The system shall be capable of producing a complete filesystem export of any scope, reproducing the approved folder topology, for archive or regulatory submission.</w:t>
            </w:r>
          </w:p>
        </w:tc>
        <w:tc>
          <w:tcPr>
            <w:tcW w:type="dxa" w:w="800"/>
          </w:tcPr>
          <w:p>
            <w:pPr>
              <w:spacing w:after="40" w:before="40"/>
            </w:pPr>
            <w:r>
              <w:rPr>
                <w:rFonts w:ascii="Arial" w:cs="Arial" w:eastAsia="Arial" w:hAnsi="Arial"/>
                <w:b/>
                <w:bCs/>
                <w:sz w:val="18"/>
                <w:szCs w:val="18"/>
              </w:rPr>
              <w:t xml:space="preserve">S</w:t>
            </w:r>
          </w:p>
        </w:tc>
      </w:tr>
    </w:tbl>
    <w:p>
      <w:pPr>
        <w:spacing w:after="160" w:before="320"/>
      </w:pPr>
      <w:r>
        <w:rPr>
          <w:rFonts w:ascii="Arial" w:cs="Arial" w:eastAsia="Arial" w:hAnsi="Arial"/>
          <w:b/>
          <w:bCs/>
          <w:color w:val="1F3864"/>
          <w:sz w:val="26"/>
          <w:szCs w:val="26"/>
        </w:rPr>
        <w:t xml:space="preserve">6. Controlled document lifecycle</w:t>
      </w:r>
    </w:p>
    <w:p>
      <w:pPr>
        <w:spacing w:after="120"/>
      </w:pPr>
      <w:r>
        <w:rPr>
          <w:rFonts w:ascii="Arial" w:cs="Arial" w:eastAsia="Arial" w:hAnsi="Arial"/>
          <w:sz w:val="20"/>
          <w:szCs w:val="20"/>
        </w:rPr>
        <w:t xml:space="preserve">The six approved states are Draft, In_Review, Approved_Pending_Effective, Effective, Superseded and Retired.</w:t>
      </w:r>
    </w:p>
    <w:p>
      <w:pPr>
        <w:spacing w:after="120"/>
      </w:pPr>
      <w:r>
        <w:rPr>
          <w:rFonts w:ascii="Arial" w:cs="Arial" w:eastAsia="Arial" w:hAnsi="Arial"/>
          <w:sz w:val="20"/>
          <w:szCs w:val="20"/>
        </w:rPr>
        <w:t xml:space="preserve">The present estate merges Superseded and Retired into a single folder. That merge is why 141 migrated files cannot currently be classified: the target model distinguishes two states that the source recorded as one. A system holding lifecycle as a field does not have this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URS-030</w:t>
            </w:r>
          </w:p>
        </w:tc>
        <w:tc>
          <w:tcPr>
            <w:tcW w:type="dxa" w:w="7700"/>
          </w:tcPr>
          <w:p>
            <w:pPr>
              <w:spacing w:after="40" w:before="40"/>
            </w:pPr>
            <w:r>
              <w:rPr>
                <w:rFonts w:ascii="Arial" w:cs="Arial" w:eastAsia="Arial" w:hAnsi="Arial"/>
                <w:sz w:val="18"/>
                <w:szCs w:val="18"/>
              </w:rPr>
              <w:t xml:space="preserve">Lifecycle shall be an attribute of the document and shall be changed by a state transition, never by moving or copying a file.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URS-031</w:t>
            </w:r>
          </w:p>
        </w:tc>
        <w:tc>
          <w:tcPr>
            <w:tcW w:type="dxa" w:w="7700"/>
          </w:tcPr>
          <w:p>
            <w:pPr>
              <w:spacing w:after="40" w:before="40"/>
            </w:pPr>
            <w:r>
              <w:rPr>
                <w:rFonts w:ascii="Arial" w:cs="Arial" w:eastAsia="Arial" w:hAnsi="Arial"/>
                <w:sz w:val="18"/>
                <w:szCs w:val="18"/>
              </w:rPr>
              <w:t xml:space="preserve">The system shall implement lifecycle as a state machine with explicitly permitted transitions. Transitions not defined shall be impossible, not merely discouraged.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URS-032</w:t>
            </w:r>
          </w:p>
        </w:tc>
        <w:tc>
          <w:tcPr>
            <w:tcW w:type="dxa" w:w="7700"/>
          </w:tcPr>
          <w:p>
            <w:pPr>
              <w:spacing w:after="40" w:before="40"/>
            </w:pPr>
            <w:r>
              <w:rPr>
                <w:rFonts w:ascii="Arial" w:cs="Arial" w:eastAsia="Arial" w:hAnsi="Arial"/>
                <w:sz w:val="18"/>
                <w:szCs w:val="18"/>
              </w:rPr>
              <w:t xml:space="preserve">Each transition shall require the role authorised for it, and shall capture evidence, reason, actor and timestamp.</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URS-033</w:t>
            </w:r>
          </w:p>
        </w:tc>
        <w:tc>
          <w:tcPr>
            <w:tcW w:type="dxa" w:w="7700"/>
          </w:tcPr>
          <w:p>
            <w:pPr>
              <w:spacing w:after="40" w:before="40"/>
            </w:pPr>
            <w:r>
              <w:rPr>
                <w:rFonts w:ascii="Arial" w:cs="Arial" w:eastAsia="Arial" w:hAnsi="Arial"/>
                <w:sz w:val="18"/>
                <w:szCs w:val="18"/>
              </w:rPr>
              <w:t xml:space="preserve">The system shall enforce that exactly one version of a document code is in the Effective state at any time.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URS-034</w:t>
            </w:r>
          </w:p>
        </w:tc>
        <w:tc>
          <w:tcPr>
            <w:tcW w:type="dxa" w:w="7700"/>
          </w:tcPr>
          <w:p>
            <w:pPr>
              <w:spacing w:after="40" w:before="40"/>
            </w:pPr>
            <w:r>
              <w:rPr>
                <w:rFonts w:ascii="Arial" w:cs="Arial" w:eastAsia="Arial" w:hAnsi="Arial"/>
                <w:sz w:val="18"/>
                <w:szCs w:val="18"/>
              </w:rPr>
              <w:t xml:space="preserve">On a version becoming Effective, the system shall transition the prior Effective version to Superseded automatically and atomically.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URS-035</w:t>
            </w:r>
          </w:p>
        </w:tc>
        <w:tc>
          <w:tcPr>
            <w:tcW w:type="dxa" w:w="7700"/>
          </w:tcPr>
          <w:p>
            <w:pPr>
              <w:spacing w:after="40" w:before="40"/>
            </w:pPr>
            <w:r>
              <w:rPr>
                <w:rFonts w:ascii="Arial" w:cs="Arial" w:eastAsia="Arial" w:hAnsi="Arial"/>
                <w:sz w:val="18"/>
                <w:szCs w:val="18"/>
              </w:rPr>
              <w:t xml:space="preserve">Superseded and Retired shall be distinct, separately reportable states. Superseded means replaced by a later version; Retired means withdrawn without replacement.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URS-036</w:t>
            </w:r>
          </w:p>
        </w:tc>
        <w:tc>
          <w:tcPr>
            <w:tcW w:type="dxa" w:w="7700"/>
          </w:tcPr>
          <w:p>
            <w:pPr>
              <w:spacing w:after="40" w:before="40"/>
            </w:pPr>
            <w:r>
              <w:rPr>
                <w:rFonts w:ascii="Arial" w:cs="Arial" w:eastAsia="Arial" w:hAnsi="Arial"/>
                <w:sz w:val="18"/>
                <w:szCs w:val="18"/>
              </w:rPr>
              <w:t xml:space="preserve">The system shall support a documented state for content that is void or withdrawn before ever becoming effective, or shall map such content explicitly to Retired. The present estate contains VOID documents that fit no approved state.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URS-037</w:t>
            </w:r>
          </w:p>
        </w:tc>
        <w:tc>
          <w:tcPr>
            <w:tcW w:type="dxa" w:w="7700"/>
          </w:tcPr>
          <w:p>
            <w:pPr>
              <w:spacing w:after="40" w:before="40"/>
            </w:pPr>
            <w:r>
              <w:rPr>
                <w:rFonts w:ascii="Arial" w:cs="Arial" w:eastAsia="Arial" w:hAnsi="Arial"/>
                <w:sz w:val="18"/>
                <w:szCs w:val="18"/>
              </w:rPr>
              <w:t xml:space="preserve">The system shall prevent a document from entering Effective without a completed approval record and an applied electronic signature.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URS-038</w:t>
            </w:r>
          </w:p>
        </w:tc>
        <w:tc>
          <w:tcPr>
            <w:tcW w:type="dxa" w:w="7700"/>
          </w:tcPr>
          <w:p>
            <w:pPr>
              <w:spacing w:after="40" w:before="40"/>
            </w:pPr>
            <w:r>
              <w:rPr>
                <w:rFonts w:ascii="Arial" w:cs="Arial" w:eastAsia="Arial" w:hAnsi="Arial"/>
                <w:sz w:val="18"/>
                <w:szCs w:val="18"/>
              </w:rPr>
              <w:t xml:space="preserve">Version identifiers shall be system-controlled. Users shall not be able to set or edit a version number directly.</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7. Quality records</w:t>
      </w:r>
    </w:p>
    <w:p>
      <w:pPr>
        <w:spacing w:after="120"/>
      </w:pPr>
      <w:r>
        <w:rPr>
          <w:rFonts w:ascii="Arial" w:cs="Arial" w:eastAsia="Arial" w:hAnsi="Arial"/>
          <w:sz w:val="20"/>
          <w:szCs w:val="20"/>
        </w:rPr>
        <w:t xml:space="preserve">A controlled document states a requirement. A quality record proves that something was done. The two carry different rules and must not share a container. The present estate files change and closure records inside controlled-document lifecycle folders, contrary to filing rule 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URS-040</w:t>
            </w:r>
          </w:p>
        </w:tc>
        <w:tc>
          <w:tcPr>
            <w:tcW w:type="dxa" w:w="7700"/>
          </w:tcPr>
          <w:p>
            <w:pPr>
              <w:spacing w:after="40" w:before="40"/>
            </w:pPr>
            <w:r>
              <w:rPr>
                <w:rFonts w:ascii="Arial" w:cs="Arial" w:eastAsia="Arial" w:hAnsi="Arial"/>
                <w:sz w:val="18"/>
                <w:szCs w:val="18"/>
              </w:rPr>
              <w:t xml:space="preserve">The system shall distinguish controlled documents from quality records as separate object classes with separate rules.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URS-041</w:t>
            </w:r>
          </w:p>
        </w:tc>
        <w:tc>
          <w:tcPr>
            <w:tcW w:type="dxa" w:w="7700"/>
          </w:tcPr>
          <w:p>
            <w:pPr>
              <w:spacing w:after="40" w:before="40"/>
            </w:pPr>
            <w:r>
              <w:rPr>
                <w:rFonts w:ascii="Arial" w:cs="Arial" w:eastAsia="Arial" w:hAnsi="Arial"/>
                <w:sz w:val="18"/>
                <w:szCs w:val="18"/>
              </w:rPr>
              <w:t xml:space="preserve">A quality record shall not be assigned a controlled-document lifecycle state.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URS-042</w:t>
            </w:r>
          </w:p>
        </w:tc>
        <w:tc>
          <w:tcPr>
            <w:tcW w:type="dxa" w:w="7700"/>
          </w:tcPr>
          <w:p>
            <w:pPr>
              <w:spacing w:after="40" w:before="40"/>
            </w:pPr>
            <w:r>
              <w:rPr>
                <w:rFonts w:ascii="Arial" w:cs="Arial" w:eastAsia="Arial" w:hAnsi="Arial"/>
                <w:sz w:val="18"/>
                <w:szCs w:val="18"/>
              </w:rPr>
              <w:t xml:space="preserve">A completed quality record shall not be overwritten or deleted by any role, including any administrative role.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URS-043</w:t>
            </w:r>
          </w:p>
        </w:tc>
        <w:tc>
          <w:tcPr>
            <w:tcW w:type="dxa" w:w="7700"/>
          </w:tcPr>
          <w:p>
            <w:pPr>
              <w:spacing w:after="40" w:before="40"/>
            </w:pPr>
            <w:r>
              <w:rPr>
                <w:rFonts w:ascii="Arial" w:cs="Arial" w:eastAsia="Arial" w:hAnsi="Arial"/>
                <w:sz w:val="18"/>
                <w:szCs w:val="18"/>
              </w:rPr>
              <w:t xml:space="preserve">Correction of a completed record shall be by controlled correction or append only, preserving the original content and recording reason, actor and timestamp.</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URS-044</w:t>
            </w:r>
          </w:p>
        </w:tc>
        <w:tc>
          <w:tcPr>
            <w:tcW w:type="dxa" w:w="7700"/>
          </w:tcPr>
          <w:p>
            <w:pPr>
              <w:spacing w:after="40" w:before="40"/>
            </w:pPr>
            <w:r>
              <w:rPr>
                <w:rFonts w:ascii="Arial" w:cs="Arial" w:eastAsia="Arial" w:hAnsi="Arial"/>
                <w:sz w:val="18"/>
                <w:szCs w:val="18"/>
              </w:rPr>
              <w:t xml:space="preserve">A quality record shall carry a mandatory record class from the approved list.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URS-045</w:t>
            </w:r>
          </w:p>
        </w:tc>
        <w:tc>
          <w:tcPr>
            <w:tcW w:type="dxa" w:w="7700"/>
          </w:tcPr>
          <w:p>
            <w:pPr>
              <w:spacing w:after="40" w:before="40"/>
            </w:pPr>
            <w:r>
              <w:rPr>
                <w:rFonts w:ascii="Arial" w:cs="Arial" w:eastAsia="Arial" w:hAnsi="Arial"/>
                <w:sz w:val="18"/>
                <w:szCs w:val="18"/>
              </w:rPr>
              <w:t xml:space="preserve">A quality record shall not carry a document version unless its record type has an approved revision lifecycle.</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8. Documents with components</w:t>
      </w:r>
    </w:p>
    <w:p>
      <w:pPr>
        <w:spacing w:after="120"/>
      </w:pPr>
      <w:r>
        <w:rPr>
          <w:rFonts w:ascii="Arial" w:cs="Arial" w:eastAsia="Arial" w:hAnsi="Arial"/>
          <w:sz w:val="20"/>
          <w:szCs w:val="20"/>
        </w:rPr>
        <w:t xml:space="preserve">The estate contains documents that have parts. GMG-PV-MAN-0001 and MAN-0002 have 44 lettered annexes, each with its own code and its own version. GMG-QMS-MAN-0001 has a completion checklist and an organisation chart stored beside it. Neither the present folder model nor the register has any concept of a component, which is why those 44 files remain unclassified.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URS-050</w:t>
            </w:r>
          </w:p>
        </w:tc>
        <w:tc>
          <w:tcPr>
            <w:tcW w:type="dxa" w:w="7700"/>
          </w:tcPr>
          <w:p>
            <w:pPr>
              <w:spacing w:after="40" w:before="40"/>
            </w:pPr>
            <w:r>
              <w:rPr>
                <w:rFonts w:ascii="Arial" w:cs="Arial" w:eastAsia="Arial" w:hAnsi="Arial"/>
                <w:sz w:val="18"/>
                <w:szCs w:val="18"/>
              </w:rPr>
              <w:t xml:space="preserve">The system shall support a parent-child relationship between a controlled document and its components — annexes, figures, checklists and attachments.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URS-051</w:t>
            </w:r>
          </w:p>
        </w:tc>
        <w:tc>
          <w:tcPr>
            <w:tcW w:type="dxa" w:w="7700"/>
          </w:tcPr>
          <w:p>
            <w:pPr>
              <w:spacing w:after="40" w:before="40"/>
            </w:pPr>
            <w:r>
              <w:rPr>
                <w:rFonts w:ascii="Arial" w:cs="Arial" w:eastAsia="Arial" w:hAnsi="Arial"/>
                <w:sz w:val="18"/>
                <w:szCs w:val="18"/>
              </w:rPr>
              <w:t xml:space="preserve">A component shall be reachable from its parent and shall identify its parent.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URS-052</w:t>
            </w:r>
          </w:p>
        </w:tc>
        <w:tc>
          <w:tcPr>
            <w:tcW w:type="dxa" w:w="7700"/>
          </w:tcPr>
          <w:p>
            <w:pPr>
              <w:spacing w:after="40" w:before="40"/>
            </w:pPr>
            <w:r>
              <w:rPr>
                <w:rFonts w:ascii="Arial" w:cs="Arial" w:eastAsia="Arial" w:hAnsi="Arial"/>
                <w:sz w:val="18"/>
                <w:szCs w:val="18"/>
              </w:rPr>
              <w:t xml:space="preserve">The system shall support both models by configuration: components versioned with the parent, and components versioned independently. The applicable rule shall be set per document type.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URS-053</w:t>
            </w:r>
          </w:p>
        </w:tc>
        <w:tc>
          <w:tcPr>
            <w:tcW w:type="dxa" w:w="7700"/>
          </w:tcPr>
          <w:p>
            <w:pPr>
              <w:spacing w:after="40" w:before="40"/>
            </w:pPr>
            <w:r>
              <w:rPr>
                <w:rFonts w:ascii="Arial" w:cs="Arial" w:eastAsia="Arial" w:hAnsi="Arial"/>
                <w:sz w:val="18"/>
                <w:szCs w:val="18"/>
              </w:rPr>
              <w:t xml:space="preserve">Where components version with the parent, a parent transition shall carry its components with it.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URS-054</w:t>
            </w:r>
          </w:p>
        </w:tc>
        <w:tc>
          <w:tcPr>
            <w:tcW w:type="dxa" w:w="7700"/>
          </w:tcPr>
          <w:p>
            <w:pPr>
              <w:spacing w:after="40" w:before="40"/>
            </w:pPr>
            <w:r>
              <w:rPr>
                <w:rFonts w:ascii="Arial" w:cs="Arial" w:eastAsia="Arial" w:hAnsi="Arial"/>
                <w:sz w:val="18"/>
                <w:szCs w:val="18"/>
              </w:rPr>
              <w:t xml:space="preserve">The system shall prevent a component from being made Effective independently where the configured rule is that it versions with its parent.</w:t>
            </w:r>
          </w:p>
        </w:tc>
        <w:tc>
          <w:tcPr>
            <w:tcW w:type="dxa" w:w="800"/>
          </w:tcPr>
          <w:p>
            <w:pPr>
              <w:spacing w:after="40" w:before="40"/>
            </w:pPr>
            <w:r>
              <w:rPr>
                <w:rFonts w:ascii="Arial" w:cs="Arial" w:eastAsia="Arial" w:hAnsi="Arial"/>
                <w:b/>
                <w:bCs/>
                <w:sz w:val="18"/>
                <w:szCs w:val="18"/>
              </w:rPr>
              <w:t xml:space="preserve">S</w:t>
            </w:r>
          </w:p>
        </w:tc>
      </w:tr>
    </w:tbl>
    <w:p>
      <w:pPr>
        <w:spacing w:after="160" w:before="320"/>
      </w:pPr>
      <w:r>
        <w:rPr>
          <w:rFonts w:ascii="Arial" w:cs="Arial" w:eastAsia="Arial" w:hAnsi="Arial"/>
          <w:b/>
          <w:bCs/>
          <w:color w:val="1F3864"/>
          <w:sz w:val="26"/>
          <w:szCs w:val="26"/>
        </w:rPr>
        <w:t xml:space="preserve">9. Register integrity and ingestion</w:t>
      </w:r>
    </w:p>
    <w:p>
      <w:pPr>
        <w:spacing w:after="120"/>
      </w:pPr>
      <w:r>
        <w:rPr>
          <w:rFonts w:ascii="Arial" w:cs="Arial" w:eastAsia="Arial" w:hAnsi="Arial"/>
          <w:sz w:val="20"/>
          <w:szCs w:val="20"/>
        </w:rPr>
        <w:t xml:space="preserve">Under GMG-QMS-SOP-0001 a document absent from the master register is not a controlled document, whatever its filename says. The present estate contains document codes with no register row.</w:t>
      </w:r>
    </w:p>
    <w:p>
      <w:pPr>
        <w:spacing w:after="120"/>
      </w:pPr>
      <w:r>
        <w:rPr>
          <w:rFonts w:ascii="Arial" w:cs="Arial" w:eastAsia="Arial" w:hAnsi="Arial"/>
          <w:sz w:val="20"/>
          <w:szCs w:val="20"/>
        </w:rPr>
        <w:t xml:space="preserve">Ingestion must also be defended against material that is not a record at all. The present source estate contains 140 operating-system metadata files and 25 groups of byte-identical duplicates.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URS-060</w:t>
            </w:r>
          </w:p>
        </w:tc>
        <w:tc>
          <w:tcPr>
            <w:tcW w:type="dxa" w:w="7700"/>
          </w:tcPr>
          <w:p>
            <w:pPr>
              <w:spacing w:after="40" w:before="40"/>
            </w:pPr>
            <w:r>
              <w:rPr>
                <w:rFonts w:ascii="Arial" w:cs="Arial" w:eastAsia="Arial" w:hAnsi="Arial"/>
                <w:sz w:val="18"/>
                <w:szCs w:val="18"/>
              </w:rPr>
              <w:t xml:space="preserve">The system shall not permit a controlled document to exist without a register entry. Creation of the object and creation of its register entry shall be one transaction.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URS-061</w:t>
            </w:r>
          </w:p>
        </w:tc>
        <w:tc>
          <w:tcPr>
            <w:tcW w:type="dxa" w:w="7700"/>
          </w:tcPr>
          <w:p>
            <w:pPr>
              <w:spacing w:after="40" w:before="40"/>
            </w:pPr>
            <w:r>
              <w:rPr>
                <w:rFonts w:ascii="Arial" w:cs="Arial" w:eastAsia="Arial" w:hAnsi="Arial"/>
                <w:sz w:val="18"/>
                <w:szCs w:val="18"/>
              </w:rPr>
              <w:t xml:space="preserve">Document code uniqueness shall be enforced by the system at the point of allocation.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URS-062</w:t>
            </w:r>
          </w:p>
        </w:tc>
        <w:tc>
          <w:tcPr>
            <w:tcW w:type="dxa" w:w="7700"/>
          </w:tcPr>
          <w:p>
            <w:pPr>
              <w:spacing w:after="40" w:before="40"/>
            </w:pPr>
            <w:r>
              <w:rPr>
                <w:rFonts w:ascii="Arial" w:cs="Arial" w:eastAsia="Arial" w:hAnsi="Arial"/>
                <w:sz w:val="18"/>
                <w:szCs w:val="18"/>
              </w:rPr>
              <w:t xml:space="preserve">The system shall allocate document codes and permanent UIDs from controlled sequences, and shall not permit manual allocation.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URS-063</w:t>
            </w:r>
          </w:p>
        </w:tc>
        <w:tc>
          <w:tcPr>
            <w:tcW w:type="dxa" w:w="7700"/>
          </w:tcPr>
          <w:p>
            <w:pPr>
              <w:spacing w:after="40" w:before="40"/>
            </w:pPr>
            <w:r>
              <w:rPr>
                <w:rFonts w:ascii="Arial" w:cs="Arial" w:eastAsia="Arial" w:hAnsi="Arial"/>
                <w:sz w:val="18"/>
                <w:szCs w:val="18"/>
              </w:rPr>
              <w:t xml:space="preserve">On ingestion the system shall compute and store a cryptographic hash of every object.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URS-064</w:t>
            </w:r>
          </w:p>
        </w:tc>
        <w:tc>
          <w:tcPr>
            <w:tcW w:type="dxa" w:w="7700"/>
          </w:tcPr>
          <w:p>
            <w:pPr>
              <w:spacing w:after="40" w:before="40"/>
            </w:pPr>
            <w:r>
              <w:rPr>
                <w:rFonts w:ascii="Arial" w:cs="Arial" w:eastAsia="Arial" w:hAnsi="Arial"/>
                <w:sz w:val="18"/>
                <w:szCs w:val="18"/>
              </w:rPr>
              <w:t xml:space="preserve">On ingestion the system shall detect content already present by hash and shall require an explicit disposition rather than creating a second instance.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URS-065</w:t>
            </w:r>
          </w:p>
        </w:tc>
        <w:tc>
          <w:tcPr>
            <w:tcW w:type="dxa" w:w="7700"/>
          </w:tcPr>
          <w:p>
            <w:pPr>
              <w:spacing w:after="40" w:before="40"/>
            </w:pPr>
            <w:r>
              <w:rPr>
                <w:rFonts w:ascii="Arial" w:cs="Arial" w:eastAsia="Arial" w:hAnsi="Arial"/>
                <w:sz w:val="18"/>
                <w:szCs w:val="18"/>
              </w:rPr>
              <w:t xml:space="preserve">The system shall exclude operating-system metadata artefacts from ingestion by configurable rule, and shall report what it excluded so that counts reconcile.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URS-066</w:t>
            </w:r>
          </w:p>
        </w:tc>
        <w:tc>
          <w:tcPr>
            <w:tcW w:type="dxa" w:w="7700"/>
          </w:tcPr>
          <w:p>
            <w:pPr>
              <w:spacing w:after="40" w:before="40"/>
            </w:pPr>
            <w:r>
              <w:rPr>
                <w:rFonts w:ascii="Arial" w:cs="Arial" w:eastAsia="Arial" w:hAnsi="Arial"/>
                <w:sz w:val="18"/>
                <w:szCs w:val="18"/>
              </w:rPr>
              <w:t xml:space="preserve">The system shall reject or quarantine any object that cannot be assigned a valid entity, domain, type and record class, rather than assigning a default.</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10. Access control</w:t>
      </w:r>
    </w:p>
    <w:p>
      <w:pPr>
        <w:spacing w:after="120"/>
      </w:pPr>
      <w:r>
        <w:rPr>
          <w:rFonts w:ascii="Arial" w:cs="Arial" w:eastAsia="Arial" w:hAnsi="Arial"/>
          <w:sz w:val="20"/>
          <w:szCs w:val="20"/>
        </w:rPr>
        <w:t xml:space="preserve">32 permission profiles are defined in GMG-QMS-LOG-0007. None is implemented today, which is why gate G7 is blocked and why the present tree confers whatever access its hosting location happens to grant.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URS-070</w:t>
            </w:r>
          </w:p>
        </w:tc>
        <w:tc>
          <w:tcPr>
            <w:tcW w:type="dxa" w:w="7700"/>
          </w:tcPr>
          <w:p>
            <w:pPr>
              <w:spacing w:after="40" w:before="40"/>
            </w:pPr>
            <w:r>
              <w:rPr>
                <w:rFonts w:ascii="Arial" w:cs="Arial" w:eastAsia="Arial" w:hAnsi="Arial"/>
                <w:sz w:val="18"/>
                <w:szCs w:val="18"/>
              </w:rPr>
              <w:t xml:space="preserve">Access shall be granted to roles, never to named individuals by exception.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URS-071</w:t>
            </w:r>
          </w:p>
        </w:tc>
        <w:tc>
          <w:tcPr>
            <w:tcW w:type="dxa" w:w="7700"/>
          </w:tcPr>
          <w:p>
            <w:pPr>
              <w:spacing w:after="40" w:before="40"/>
            </w:pPr>
            <w:r>
              <w:rPr>
                <w:rFonts w:ascii="Arial" w:cs="Arial" w:eastAsia="Arial" w:hAnsi="Arial"/>
                <w:sz w:val="18"/>
                <w:szCs w:val="18"/>
              </w:rPr>
              <w:t xml:space="preserve">The system shall implement all approved permission profiles, each expressing read, create, modify, approve or transition, delete or dispose, and external share independently.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URS-071a</w:t>
            </w:r>
          </w:p>
        </w:tc>
        <w:tc>
          <w:tcPr>
            <w:tcW w:type="dxa" w:w="7700"/>
          </w:tcPr>
          <w:p>
            <w:pPr>
              <w:spacing w:after="40" w:before="40"/>
            </w:pPr>
            <w:r>
              <w:rPr>
                <w:rFonts w:ascii="Arial" w:cs="Arial" w:eastAsia="Arial" w:hAnsi="Arial"/>
                <w:sz w:val="18"/>
                <w:szCs w:val="18"/>
              </w:rPr>
              <w:t xml:space="preserve">Every location shall resolve to exactly one atomic permission profile. Compound values such as two profiles combined, or a named profile plus an unnamed category, shall be rejected by the register and by the system.</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URS-071b</w:t>
            </w:r>
          </w:p>
        </w:tc>
        <w:tc>
          <w:tcPr>
            <w:tcW w:type="dxa" w:w="7700"/>
          </w:tcPr>
          <w:p>
            <w:pPr>
              <w:spacing w:after="40" w:before="40"/>
            </w:pPr>
            <w:r>
              <w:rPr>
                <w:rFonts w:ascii="Arial" w:cs="Arial" w:eastAsia="Arial" w:hAnsi="Arial"/>
                <w:sz w:val="18"/>
                <w:szCs w:val="18"/>
              </w:rPr>
              <w:t xml:space="preserve">A location that exists only to carry children shall be declared a pass-through container: it shall accept no direct filing and shall grant no independent access. 54 locations in the present register require this designation or an atomic profile — they are the zone roots and entity containers of Zones 02 and 03.</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URS-072</w:t>
            </w:r>
          </w:p>
        </w:tc>
        <w:tc>
          <w:tcPr>
            <w:tcW w:type="dxa" w:w="7700"/>
          </w:tcPr>
          <w:p>
            <w:pPr>
              <w:spacing w:after="40" w:before="40"/>
            </w:pPr>
            <w:r>
              <w:rPr>
                <w:rFonts w:ascii="Arial" w:cs="Arial" w:eastAsia="Arial" w:hAnsi="Arial"/>
                <w:sz w:val="18"/>
                <w:szCs w:val="18"/>
              </w:rPr>
              <w:t xml:space="preserve">Effective permission shall be determined by the combination of entity, zone, domain and record class, not by storage location.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URS-073</w:t>
            </w:r>
          </w:p>
        </w:tc>
        <w:tc>
          <w:tcPr>
            <w:tcW w:type="dxa" w:w="7700"/>
          </w:tcPr>
          <w:p>
            <w:pPr>
              <w:spacing w:after="40" w:before="40"/>
            </w:pPr>
            <w:r>
              <w:rPr>
                <w:rFonts w:ascii="Arial" w:cs="Arial" w:eastAsia="Arial" w:hAnsi="Arial"/>
                <w:sz w:val="18"/>
                <w:szCs w:val="18"/>
              </w:rPr>
              <w:t xml:space="preserve">No permission profile shall be capable of granting overwrite or deletion of a completed quality record.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URS-074</w:t>
            </w:r>
          </w:p>
        </w:tc>
        <w:tc>
          <w:tcPr>
            <w:tcW w:type="dxa" w:w="7700"/>
          </w:tcPr>
          <w:p>
            <w:pPr>
              <w:spacing w:after="40" w:before="40"/>
            </w:pPr>
            <w:r>
              <w:rPr>
                <w:rFonts w:ascii="Arial" w:cs="Arial" w:eastAsia="Arial" w:hAnsi="Arial"/>
                <w:sz w:val="18"/>
                <w:szCs w:val="18"/>
              </w:rPr>
              <w:t xml:space="preserve">The system shall enforce negative access: a role outside the scope of a profile shall be denied, and the denial shall be recorded.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URS-075</w:t>
            </w:r>
          </w:p>
        </w:tc>
        <w:tc>
          <w:tcPr>
            <w:tcW w:type="dxa" w:w="7700"/>
          </w:tcPr>
          <w:p>
            <w:pPr>
              <w:spacing w:after="40" w:before="40"/>
            </w:pPr>
            <w:r>
              <w:rPr>
                <w:rFonts w:ascii="Arial" w:cs="Arial" w:eastAsia="Arial" w:hAnsi="Arial"/>
                <w:sz w:val="18"/>
                <w:szCs w:val="18"/>
              </w:rPr>
              <w:t xml:space="preserve">The system shall support joiner, mover and leaver processing, removing access on leaving and requiring recertification on moving.</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URS-076</w:t>
            </w:r>
          </w:p>
        </w:tc>
        <w:tc>
          <w:tcPr>
            <w:tcW w:type="dxa" w:w="7700"/>
          </w:tcPr>
          <w:p>
            <w:pPr>
              <w:spacing w:after="40" w:before="40"/>
            </w:pPr>
            <w:r>
              <w:rPr>
                <w:rFonts w:ascii="Arial" w:cs="Arial" w:eastAsia="Arial" w:hAnsi="Arial"/>
                <w:sz w:val="18"/>
                <w:szCs w:val="18"/>
              </w:rPr>
              <w:t xml:space="preserve">The system shall support periodic access review and produce evidence of it.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URS-077</w:t>
            </w:r>
          </w:p>
        </w:tc>
        <w:tc>
          <w:tcPr>
            <w:tcW w:type="dxa" w:w="7700"/>
          </w:tcPr>
          <w:p>
            <w:pPr>
              <w:spacing w:after="40" w:before="40"/>
            </w:pPr>
            <w:r>
              <w:rPr>
                <w:rFonts w:ascii="Arial" w:cs="Arial" w:eastAsia="Arial" w:hAnsi="Arial"/>
                <w:sz w:val="18"/>
                <w:szCs w:val="18"/>
              </w:rPr>
              <w:t xml:space="preserve">External sharing shall be possible only through an approved route, shall be time-limited, and shall be recorded.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URS-078</w:t>
            </w:r>
          </w:p>
        </w:tc>
        <w:tc>
          <w:tcPr>
            <w:tcW w:type="dxa" w:w="7700"/>
          </w:tcPr>
          <w:p>
            <w:pPr>
              <w:spacing w:after="40" w:before="40"/>
            </w:pPr>
            <w:r>
              <w:rPr>
                <w:rFonts w:ascii="Arial" w:cs="Arial" w:eastAsia="Arial" w:hAnsi="Arial"/>
                <w:sz w:val="18"/>
                <w:szCs w:val="18"/>
              </w:rPr>
              <w:t xml:space="preserve">Entity segregation shall be enforced such that a role scoped to one legal entity cannot read another entity's records except through an approved cross-entity profile.</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11. Legal hold, retention and disposition</w:t>
      </w:r>
    </w:p>
    <w:p>
      <w:pPr>
        <w:spacing w:after="120"/>
      </w:pPr>
      <w:r>
        <w:rPr>
          <w:rFonts w:ascii="Arial" w:cs="Arial" w:eastAsia="Arial" w:hAnsi="Arial"/>
          <w:sz w:val="20"/>
          <w:szCs w:val="20"/>
        </w:rPr>
        <w:t xml:space="preserve">The present estate contains two separate legal-hold folders under one parent — a condition in which a hold sweep that checks one misses the other. The system must make that structurally impossible.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URS-080</w:t>
            </w:r>
          </w:p>
        </w:tc>
        <w:tc>
          <w:tcPr>
            <w:tcW w:type="dxa" w:w="7700"/>
          </w:tcPr>
          <w:p>
            <w:pPr>
              <w:spacing w:after="40" w:before="40"/>
            </w:pPr>
            <w:r>
              <w:rPr>
                <w:rFonts w:ascii="Arial" w:cs="Arial" w:eastAsia="Arial" w:hAnsi="Arial"/>
                <w:sz w:val="18"/>
                <w:szCs w:val="18"/>
              </w:rPr>
              <w:t xml:space="preserve">Legal hold shall be a single object applied to a matter, capable of spanning entities, domains and record classes.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URS-081</w:t>
            </w:r>
          </w:p>
        </w:tc>
        <w:tc>
          <w:tcPr>
            <w:tcW w:type="dxa" w:w="7700"/>
          </w:tcPr>
          <w:p>
            <w:pPr>
              <w:spacing w:after="40" w:before="40"/>
            </w:pPr>
            <w:r>
              <w:rPr>
                <w:rFonts w:ascii="Arial" w:cs="Arial" w:eastAsia="Arial" w:hAnsi="Arial"/>
                <w:sz w:val="18"/>
                <w:szCs w:val="18"/>
              </w:rPr>
              <w:t xml:space="preserve">Legal hold shall override retention, disposition and deletion for every object it covers.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URS-082</w:t>
            </w:r>
          </w:p>
        </w:tc>
        <w:tc>
          <w:tcPr>
            <w:tcW w:type="dxa" w:w="7700"/>
          </w:tcPr>
          <w:p>
            <w:pPr>
              <w:spacing w:after="40" w:before="40"/>
            </w:pPr>
            <w:r>
              <w:rPr>
                <w:rFonts w:ascii="Arial" w:cs="Arial" w:eastAsia="Arial" w:hAnsi="Arial"/>
                <w:sz w:val="18"/>
                <w:szCs w:val="18"/>
              </w:rPr>
              <w:t xml:space="preserve">No role, including any administrative role, shall be able to delete or dispose of an object under legal hold.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URS-083</w:t>
            </w:r>
          </w:p>
        </w:tc>
        <w:tc>
          <w:tcPr>
            <w:tcW w:type="dxa" w:w="7700"/>
          </w:tcPr>
          <w:p>
            <w:pPr>
              <w:spacing w:after="40" w:before="40"/>
            </w:pPr>
            <w:r>
              <w:rPr>
                <w:rFonts w:ascii="Arial" w:cs="Arial" w:eastAsia="Arial" w:hAnsi="Arial"/>
                <w:sz w:val="18"/>
                <w:szCs w:val="18"/>
              </w:rPr>
              <w:t xml:space="preserve">The system shall report every object under a given hold, completely, from a single query.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URS-084</w:t>
            </w:r>
          </w:p>
        </w:tc>
        <w:tc>
          <w:tcPr>
            <w:tcW w:type="dxa" w:w="7700"/>
          </w:tcPr>
          <w:p>
            <w:pPr>
              <w:spacing w:after="40" w:before="40"/>
            </w:pPr>
            <w:r>
              <w:rPr>
                <w:rFonts w:ascii="Arial" w:cs="Arial" w:eastAsia="Arial" w:hAnsi="Arial"/>
                <w:sz w:val="18"/>
                <w:szCs w:val="18"/>
              </w:rPr>
              <w:t xml:space="preserve">Retention schedules shall be metadata-driven, applied by record class and entity.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URS-085</w:t>
            </w:r>
          </w:p>
        </w:tc>
        <w:tc>
          <w:tcPr>
            <w:tcW w:type="dxa" w:w="7700"/>
          </w:tcPr>
          <w:p>
            <w:pPr>
              <w:spacing w:after="40" w:before="40"/>
            </w:pPr>
            <w:r>
              <w:rPr>
                <w:rFonts w:ascii="Arial" w:cs="Arial" w:eastAsia="Arial" w:hAnsi="Arial"/>
                <w:sz w:val="18"/>
                <w:szCs w:val="18"/>
              </w:rPr>
              <w:t xml:space="preserve">Disposition shall require approval, shall be recorded, and shall never be a user action.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URS-086</w:t>
            </w:r>
          </w:p>
        </w:tc>
        <w:tc>
          <w:tcPr>
            <w:tcW w:type="dxa" w:w="7700"/>
          </w:tcPr>
          <w:p>
            <w:pPr>
              <w:spacing w:after="40" w:before="40"/>
            </w:pPr>
            <w:r>
              <w:rPr>
                <w:rFonts w:ascii="Arial" w:cs="Arial" w:eastAsia="Arial" w:hAnsi="Arial"/>
                <w:sz w:val="18"/>
                <w:szCs w:val="18"/>
              </w:rPr>
              <w:t xml:space="preserve">The system shall report objects eligible for disposition and shall not dispose of them automatically.</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12. Audit trail and data integrity</w:t>
      </w:r>
    </w:p>
    <w:p>
      <w:pPr>
        <w:spacing w:after="120"/>
      </w:pPr>
      <w:r>
        <w:rPr>
          <w:rFonts w:ascii="Arial" w:cs="Arial" w:eastAsia="Arial" w:hAnsi="Arial"/>
          <w:sz w:val="20"/>
          <w:szCs w:val="20"/>
        </w:rPr>
        <w:t xml:space="preserve">If any part of the estate is GxP — and it holds pharmacovigilance, GMP and GDP records — then EU GMP Annex 11 and, where applicable, 21 CFR Part 11 apply.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URS-090</w:t>
            </w:r>
          </w:p>
        </w:tc>
        <w:tc>
          <w:tcPr>
            <w:tcW w:type="dxa" w:w="7700"/>
          </w:tcPr>
          <w:p>
            <w:pPr>
              <w:spacing w:after="40" w:before="40"/>
            </w:pPr>
            <w:r>
              <w:rPr>
                <w:rFonts w:ascii="Arial" w:cs="Arial" w:eastAsia="Arial" w:hAnsi="Arial"/>
                <w:sz w:val="18"/>
                <w:szCs w:val="18"/>
              </w:rPr>
              <w:t xml:space="preserve">The system shall maintain an audit trail that is attributable, legible, contemporaneous, original and accurate.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URS-091</w:t>
            </w:r>
          </w:p>
        </w:tc>
        <w:tc>
          <w:tcPr>
            <w:tcW w:type="dxa" w:w="7700"/>
          </w:tcPr>
          <w:p>
            <w:pPr>
              <w:spacing w:after="40" w:before="40"/>
            </w:pPr>
            <w:r>
              <w:rPr>
                <w:rFonts w:ascii="Arial" w:cs="Arial" w:eastAsia="Arial" w:hAnsi="Arial"/>
                <w:sz w:val="18"/>
                <w:szCs w:val="18"/>
              </w:rPr>
              <w:t xml:space="preserve">The audit trail shall record creation, modification, lifecycle transition, permission change, hold application and release, disposition, and every denied access attempt.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URS-092</w:t>
            </w:r>
          </w:p>
        </w:tc>
        <w:tc>
          <w:tcPr>
            <w:tcW w:type="dxa" w:w="7700"/>
          </w:tcPr>
          <w:p>
            <w:pPr>
              <w:spacing w:after="40" w:before="40"/>
            </w:pPr>
            <w:r>
              <w:rPr>
                <w:rFonts w:ascii="Arial" w:cs="Arial" w:eastAsia="Arial" w:hAnsi="Arial"/>
                <w:sz w:val="18"/>
                <w:szCs w:val="18"/>
              </w:rPr>
              <w:t xml:space="preserve">The audit trail shall not be editable or erasable by any role.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URS-093</w:t>
            </w:r>
          </w:p>
        </w:tc>
        <w:tc>
          <w:tcPr>
            <w:tcW w:type="dxa" w:w="7700"/>
          </w:tcPr>
          <w:p>
            <w:pPr>
              <w:spacing w:after="40" w:before="40"/>
            </w:pPr>
            <w:r>
              <w:rPr>
                <w:rFonts w:ascii="Arial" w:cs="Arial" w:eastAsia="Arial" w:hAnsi="Arial"/>
                <w:sz w:val="18"/>
                <w:szCs w:val="18"/>
              </w:rPr>
              <w:t xml:space="preserve">The audit trail shall be retained for at least the retention period of the record it describes.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URS-094</w:t>
            </w:r>
          </w:p>
        </w:tc>
        <w:tc>
          <w:tcPr>
            <w:tcW w:type="dxa" w:w="7700"/>
          </w:tcPr>
          <w:p>
            <w:pPr>
              <w:spacing w:after="40" w:before="40"/>
            </w:pPr>
            <w:r>
              <w:rPr>
                <w:rFonts w:ascii="Arial" w:cs="Arial" w:eastAsia="Arial" w:hAnsi="Arial"/>
                <w:sz w:val="18"/>
                <w:szCs w:val="18"/>
              </w:rPr>
              <w:t xml:space="preserve">The audit trail shall be reviewable and exportable without vendor intervention.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URS-095</w:t>
            </w:r>
          </w:p>
        </w:tc>
        <w:tc>
          <w:tcPr>
            <w:tcW w:type="dxa" w:w="7700"/>
          </w:tcPr>
          <w:p>
            <w:pPr>
              <w:spacing w:after="40" w:before="40"/>
            </w:pPr>
            <w:r>
              <w:rPr>
                <w:rFonts w:ascii="Arial" w:cs="Arial" w:eastAsia="Arial" w:hAnsi="Arial"/>
                <w:sz w:val="18"/>
                <w:szCs w:val="18"/>
              </w:rPr>
              <w:t xml:space="preserve">Electronic signatures, where used, shall be linked to their records and shall capture signer, date, time and meaning of signature.</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13. Search, navigation and retrieval</w:t>
      </w:r>
    </w:p>
    <w:p>
      <w:pPr>
        <w:spacing w:after="120"/>
      </w:pPr>
      <w:r>
        <w:rPr>
          <w:rFonts w:ascii="Arial" w:cs="Arial" w:eastAsia="Arial" w:hAnsi="Arial"/>
          <w:sz w:val="20"/>
          <w:szCs w:val="20"/>
        </w:rPr>
        <w:t xml:space="preserve">A metadata-driven system can present the same object through many navigation paths without duplicating it. This is the practical benefit that repays the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URS-100</w:t>
            </w:r>
          </w:p>
        </w:tc>
        <w:tc>
          <w:tcPr>
            <w:tcW w:type="dxa" w:w="7700"/>
          </w:tcPr>
          <w:p>
            <w:pPr>
              <w:spacing w:after="40" w:before="40"/>
            </w:pPr>
            <w:r>
              <w:rPr>
                <w:rFonts w:ascii="Arial" w:cs="Arial" w:eastAsia="Arial" w:hAnsi="Arial"/>
                <w:sz w:val="18"/>
                <w:szCs w:val="18"/>
              </w:rPr>
              <w:t xml:space="preserve">Users shall be able to search on any classification attribute and any combination of them.</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URS-101</w:t>
            </w:r>
          </w:p>
        </w:tc>
        <w:tc>
          <w:tcPr>
            <w:tcW w:type="dxa" w:w="7700"/>
          </w:tcPr>
          <w:p>
            <w:pPr>
              <w:spacing w:after="40" w:before="40"/>
            </w:pPr>
            <w:r>
              <w:rPr>
                <w:rFonts w:ascii="Arial" w:cs="Arial" w:eastAsia="Arial" w:hAnsi="Arial"/>
                <w:sz w:val="18"/>
                <w:szCs w:val="18"/>
              </w:rPr>
              <w:t xml:space="preserve">The system shall provide multiple navigation views over the same objects — by entity, by domain, by type, by lifecycle state and by record class — without duplication.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URS-102</w:t>
            </w:r>
          </w:p>
        </w:tc>
        <w:tc>
          <w:tcPr>
            <w:tcW w:type="dxa" w:w="7700"/>
          </w:tcPr>
          <w:p>
            <w:pPr>
              <w:spacing w:after="40" w:before="40"/>
            </w:pPr>
            <w:r>
              <w:rPr>
                <w:rFonts w:ascii="Arial" w:cs="Arial" w:eastAsia="Arial" w:hAnsi="Arial"/>
                <w:sz w:val="18"/>
                <w:szCs w:val="18"/>
              </w:rPr>
              <w:t xml:space="preserve">Search results shall be filtered by the user's effective permissions, and the existence of records the user may not read shall not be disclosed.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URS-103</w:t>
            </w:r>
          </w:p>
        </w:tc>
        <w:tc>
          <w:tcPr>
            <w:tcW w:type="dxa" w:w="7700"/>
          </w:tcPr>
          <w:p>
            <w:pPr>
              <w:spacing w:after="40" w:before="40"/>
            </w:pPr>
            <w:r>
              <w:rPr>
                <w:rFonts w:ascii="Arial" w:cs="Arial" w:eastAsia="Arial" w:hAnsi="Arial"/>
                <w:sz w:val="18"/>
                <w:szCs w:val="18"/>
              </w:rPr>
              <w:t xml:space="preserve">The system shall retrieve the current Effective version of a document code in a single step.</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URS-104</w:t>
            </w:r>
          </w:p>
        </w:tc>
        <w:tc>
          <w:tcPr>
            <w:tcW w:type="dxa" w:w="7700"/>
          </w:tcPr>
          <w:p>
            <w:pPr>
              <w:spacing w:after="40" w:before="40"/>
            </w:pPr>
            <w:r>
              <w:rPr>
                <w:rFonts w:ascii="Arial" w:cs="Arial" w:eastAsia="Arial" w:hAnsi="Arial"/>
                <w:sz w:val="18"/>
                <w:szCs w:val="18"/>
              </w:rPr>
              <w:t xml:space="preserve">The system shall present the complete version history of a document code, including Superseded and Retired versions, to authorised roles.</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14. Migration</w:t>
      </w:r>
    </w:p>
    <w:p>
      <w:pPr>
        <w:spacing w:after="120"/>
      </w:pPr>
      <w:r>
        <w:rPr>
          <w:rFonts w:ascii="Arial" w:cs="Arial" w:eastAsia="Arial" w:hAnsi="Arial"/>
          <w:sz w:val="20"/>
          <w:szCs w:val="20"/>
        </w:rPr>
        <w:t xml:space="preserve">The migration scope is established and evidenced. 1,631 source files have been inventoried and hashed: 1,236 promoted, 330 held as exceptions with recorded reasons, and 65 staged only. Annex B is the authoritative manifest and these figures are taken from it. Those 330 exceptions must not be resolved silently by the new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URS-110</w:t>
            </w:r>
          </w:p>
        </w:tc>
        <w:tc>
          <w:tcPr>
            <w:tcW w:type="dxa" w:w="7700"/>
          </w:tcPr>
          <w:p>
            <w:pPr>
              <w:spacing w:after="40" w:before="40"/>
            </w:pPr>
            <w:r>
              <w:rPr>
                <w:rFonts w:ascii="Arial" w:cs="Arial" w:eastAsia="Arial" w:hAnsi="Arial"/>
                <w:sz w:val="18"/>
                <w:szCs w:val="18"/>
              </w:rPr>
              <w:t xml:space="preserve">The system shall ingest objects together with pre-recorded source hashes and shall verify each hash after ingestion.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URS-111</w:t>
            </w:r>
          </w:p>
        </w:tc>
        <w:tc>
          <w:tcPr>
            <w:tcW w:type="dxa" w:w="7700"/>
          </w:tcPr>
          <w:p>
            <w:pPr>
              <w:spacing w:after="40" w:before="40"/>
            </w:pPr>
            <w:r>
              <w:rPr>
                <w:rFonts w:ascii="Arial" w:cs="Arial" w:eastAsia="Arial" w:hAnsi="Arial"/>
                <w:sz w:val="18"/>
                <w:szCs w:val="18"/>
              </w:rPr>
              <w:t xml:space="preserve">The system shall produce a reconciliation report of expected against actual, itemising every discrepancy.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URS-112</w:t>
            </w:r>
          </w:p>
        </w:tc>
        <w:tc>
          <w:tcPr>
            <w:tcW w:type="dxa" w:w="7700"/>
          </w:tcPr>
          <w:p>
            <w:pPr>
              <w:spacing w:after="40" w:before="40"/>
            </w:pPr>
            <w:r>
              <w:rPr>
                <w:rFonts w:ascii="Arial" w:cs="Arial" w:eastAsia="Arial" w:hAnsi="Arial"/>
                <w:sz w:val="18"/>
                <w:szCs w:val="18"/>
              </w:rPr>
              <w:t xml:space="preserve">The system shall support loading objects in a held or unclassified state where classification is not yet determined, and shall prevent their operational use until classified.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URS-113</w:t>
            </w:r>
          </w:p>
        </w:tc>
        <w:tc>
          <w:tcPr>
            <w:tcW w:type="dxa" w:w="7700"/>
          </w:tcPr>
          <w:p>
            <w:pPr>
              <w:spacing w:after="40" w:before="40"/>
            </w:pPr>
            <w:r>
              <w:rPr>
                <w:rFonts w:ascii="Arial" w:cs="Arial" w:eastAsia="Arial" w:hAnsi="Arial"/>
                <w:sz w:val="18"/>
                <w:szCs w:val="18"/>
              </w:rPr>
              <w:t xml:space="preserve">The system shall not assign a default classification to an object whose classification is undetermined.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URS-114</w:t>
            </w:r>
          </w:p>
        </w:tc>
        <w:tc>
          <w:tcPr>
            <w:tcW w:type="dxa" w:w="7700"/>
          </w:tcPr>
          <w:p>
            <w:pPr>
              <w:spacing w:after="40" w:before="40"/>
            </w:pPr>
            <w:r>
              <w:rPr>
                <w:rFonts w:ascii="Arial" w:cs="Arial" w:eastAsia="Arial" w:hAnsi="Arial"/>
                <w:sz w:val="18"/>
                <w:szCs w:val="18"/>
              </w:rPr>
              <w:t xml:space="preserve">Migration shall be reversible. The system shall support removal of a migrated set and restoration of the prior state within an agreed recovery objective.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URS-115</w:t>
            </w:r>
          </w:p>
        </w:tc>
        <w:tc>
          <w:tcPr>
            <w:tcW w:type="dxa" w:w="7700"/>
          </w:tcPr>
          <w:p>
            <w:pPr>
              <w:spacing w:after="40" w:before="40"/>
            </w:pPr>
            <w:r>
              <w:rPr>
                <w:rFonts w:ascii="Arial" w:cs="Arial" w:eastAsia="Arial" w:hAnsi="Arial"/>
                <w:sz w:val="18"/>
                <w:szCs w:val="18"/>
              </w:rPr>
              <w:t xml:space="preserve">The source estate shall not be modified or deleted by any migration activity.</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15. Interfaces and system-of-record precedence</w:t>
      </w:r>
    </w:p>
    <w:p>
      <w:pPr>
        <w:spacing w:after="120"/>
      </w:pPr>
      <w:r>
        <w:rPr>
          <w:rFonts w:ascii="Arial" w:cs="Arial" w:eastAsia="Arial" w:hAnsi="Arial"/>
          <w:sz w:val="20"/>
          <w:szCs w:val="20"/>
        </w:rPr>
        <w:t xml:space="preserve">Filing rule 18 states that an approved system of record prevails and that no export becomes a parallel master. This applies to the relationship between this system and the folder tree as much as to ERP or CRM.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URS-120</w:t>
            </w:r>
          </w:p>
        </w:tc>
        <w:tc>
          <w:tcPr>
            <w:tcW w:type="dxa" w:w="7700"/>
          </w:tcPr>
          <w:p>
            <w:pPr>
              <w:spacing w:after="40" w:before="40"/>
            </w:pPr>
            <w:r>
              <w:rPr>
                <w:rFonts w:ascii="Arial" w:cs="Arial" w:eastAsia="Arial" w:hAnsi="Arial"/>
                <w:sz w:val="18"/>
                <w:szCs w:val="18"/>
              </w:rPr>
              <w:t xml:space="preserve">Where an approved system of record exists for a class of data — ERP, CRM, HRIS, RIM, PV or QMS — this system shall hold a link or a controlled read-only view, not an authoritative copy.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URS-121</w:t>
            </w:r>
          </w:p>
        </w:tc>
        <w:tc>
          <w:tcPr>
            <w:tcW w:type="dxa" w:w="7700"/>
          </w:tcPr>
          <w:p>
            <w:pPr>
              <w:spacing w:after="40" w:before="40"/>
            </w:pPr>
            <w:r>
              <w:rPr>
                <w:rFonts w:ascii="Arial" w:cs="Arial" w:eastAsia="Arial" w:hAnsi="Arial"/>
                <w:sz w:val="18"/>
                <w:szCs w:val="18"/>
              </w:rPr>
              <w:t xml:space="preserve">The system shall record, per record class, which system is authoritative.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URS-122</w:t>
            </w:r>
          </w:p>
        </w:tc>
        <w:tc>
          <w:tcPr>
            <w:tcW w:type="dxa" w:w="7700"/>
          </w:tcPr>
          <w:p>
            <w:pPr>
              <w:spacing w:after="40" w:before="40"/>
            </w:pPr>
            <w:r>
              <w:rPr>
                <w:rFonts w:ascii="Arial" w:cs="Arial" w:eastAsia="Arial" w:hAnsi="Arial"/>
                <w:sz w:val="18"/>
                <w:szCs w:val="18"/>
              </w:rPr>
              <w:t xml:space="preserve">Any export produced by the system shall be marked as a copy and shall not be presentable as the authoritative record.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URS-123</w:t>
            </w:r>
          </w:p>
        </w:tc>
        <w:tc>
          <w:tcPr>
            <w:tcW w:type="dxa" w:w="7700"/>
          </w:tcPr>
          <w:p>
            <w:pPr>
              <w:spacing w:after="40" w:before="40"/>
            </w:pPr>
            <w:r>
              <w:rPr>
                <w:rFonts w:ascii="Arial" w:cs="Arial" w:eastAsia="Arial" w:hAnsi="Arial"/>
                <w:sz w:val="18"/>
                <w:szCs w:val="18"/>
              </w:rPr>
              <w:t xml:space="preserve">On go-live the folder tree shall cease to be maintained independently and shall be either generated from this system or formally retired.</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16.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URS-130</w:t>
            </w:r>
          </w:p>
        </w:tc>
        <w:tc>
          <w:tcPr>
            <w:tcW w:type="dxa" w:w="7700"/>
          </w:tcPr>
          <w:p>
            <w:pPr>
              <w:spacing w:after="40" w:before="40"/>
            </w:pPr>
            <w:r>
              <w:rPr>
                <w:rFonts w:ascii="Arial" w:cs="Arial" w:eastAsia="Arial" w:hAnsi="Arial"/>
                <w:sz w:val="18"/>
                <w:szCs w:val="18"/>
              </w:rPr>
              <w:t xml:space="preserve">The system and its data shall be owned by the organisation, not by an individual account, and shall survive the departure of any individual.</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URS-131</w:t>
            </w:r>
          </w:p>
        </w:tc>
        <w:tc>
          <w:tcPr>
            <w:tcW w:type="dxa" w:w="7700"/>
          </w:tcPr>
          <w:p>
            <w:pPr>
              <w:spacing w:after="40" w:before="40"/>
            </w:pPr>
            <w:r>
              <w:rPr>
                <w:rFonts w:ascii="Arial" w:cs="Arial" w:eastAsia="Arial" w:hAnsi="Arial"/>
                <w:sz w:val="18"/>
                <w:szCs w:val="18"/>
              </w:rPr>
              <w:t xml:space="preserve">Recovery point objective shall not exceed 4 hours and recovery time objective shall not exceed 8 hours for the production system. A full restoration test shall be executed and evidenced at least annually.</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URS-131a</w:t>
            </w:r>
          </w:p>
        </w:tc>
        <w:tc>
          <w:tcPr>
            <w:tcW w:type="dxa" w:w="7700"/>
          </w:tcPr>
          <w:p>
            <w:pPr>
              <w:spacing w:after="40" w:before="40"/>
            </w:pPr>
            <w:r>
              <w:rPr>
                <w:rFonts w:ascii="Arial" w:cs="Arial" w:eastAsia="Arial" w:hAnsi="Arial"/>
                <w:sz w:val="18"/>
                <w:szCs w:val="18"/>
              </w:rPr>
              <w:t xml:space="preserve">Retrieval of any single object by document code shall complete within 3 seconds at the 95th percentile under normal load.</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URS-131b</w:t>
            </w:r>
          </w:p>
        </w:tc>
        <w:tc>
          <w:tcPr>
            <w:tcW w:type="dxa" w:w="7700"/>
          </w:tcPr>
          <w:p>
            <w:pPr>
              <w:spacing w:after="40" w:before="40"/>
            </w:pPr>
            <w:r>
              <w:rPr>
                <w:rFonts w:ascii="Arial" w:cs="Arial" w:eastAsia="Arial" w:hAnsi="Arial"/>
                <w:sz w:val="18"/>
                <w:szCs w:val="18"/>
              </w:rPr>
              <w:t xml:space="preserve">The system shall accept individual objects of at least 500 MB and shall support the formats present in the estate: docx, xlsx, pdf, png, txt, and shall not transform content on ingestion.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URS-131c</w:t>
            </w:r>
          </w:p>
        </w:tc>
        <w:tc>
          <w:tcPr>
            <w:tcW w:type="dxa" w:w="7700"/>
          </w:tcPr>
          <w:p>
            <w:pPr>
              <w:spacing w:after="40" w:before="40"/>
            </w:pPr>
            <w:r>
              <w:rPr>
                <w:rFonts w:ascii="Arial" w:cs="Arial" w:eastAsia="Arial" w:hAnsi="Arial"/>
                <w:sz w:val="18"/>
                <w:szCs w:val="18"/>
              </w:rPr>
              <w:t xml:space="preserve">Batch ingestion shall sustain at least 1,000 objects per hour with hash verification.</w:t>
            </w:r>
          </w:p>
        </w:tc>
        <w:tc>
          <w:tcPr>
            <w:tcW w:type="dxa" w:w="800"/>
          </w:tcPr>
          <w:p>
            <w:pPr>
              <w:spacing w:after="40" w:before="40"/>
            </w:pPr>
            <w:r>
              <w:rPr>
                <w:rFonts w:ascii="Arial" w:cs="Arial" w:eastAsia="Arial" w:hAnsi="Arial"/>
                <w:b/>
                <w:bCs/>
                <w:sz w:val="18"/>
                <w:szCs w:val="18"/>
              </w:rPr>
              <w:t xml:space="preserve">S</w:t>
            </w:r>
          </w:p>
        </w:tc>
      </w:tr>
      <w:tr>
        <w:trPr>
          <w:cantSplit/>
        </w:trPr>
        <w:tc>
          <w:tcPr>
            <w:tcW w:type="dxa" w:w="1100"/>
            <w:shd w:fill="F2F2F2" w:val="clear"/>
          </w:tcPr>
          <w:p>
            <w:pPr>
              <w:spacing w:after="40" w:before="40"/>
            </w:pPr>
            <w:r>
              <w:rPr>
                <w:rFonts w:ascii="Arial" w:cs="Arial" w:eastAsia="Arial" w:hAnsi="Arial"/>
                <w:b/>
                <w:bCs/>
                <w:sz w:val="18"/>
                <w:szCs w:val="18"/>
              </w:rPr>
              <w:t xml:space="preserve">URS-131d</w:t>
            </w:r>
          </w:p>
        </w:tc>
        <w:tc>
          <w:tcPr>
            <w:tcW w:type="dxa" w:w="7700"/>
          </w:tcPr>
          <w:p>
            <w:pPr>
              <w:spacing w:after="40" w:before="40"/>
            </w:pPr>
            <w:r>
              <w:rPr>
                <w:rFonts w:ascii="Arial" w:cs="Arial" w:eastAsia="Arial" w:hAnsi="Arial"/>
                <w:sz w:val="18"/>
                <w:szCs w:val="18"/>
              </w:rPr>
              <w:t xml:space="preserve">The system shall provide monitoring and alerting for failed ingestion, failed backup, failed transition and permission-change events.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URS-132</w:t>
            </w:r>
          </w:p>
        </w:tc>
        <w:tc>
          <w:tcPr>
            <w:tcW w:type="dxa" w:w="7700"/>
          </w:tcPr>
          <w:p>
            <w:pPr>
              <w:spacing w:after="40" w:before="40"/>
            </w:pPr>
            <w:r>
              <w:rPr>
                <w:rFonts w:ascii="Arial" w:cs="Arial" w:eastAsia="Arial" w:hAnsi="Arial"/>
                <w:sz w:val="18"/>
                <w:szCs w:val="18"/>
              </w:rPr>
              <w:t xml:space="preserve">The system shall integrate with the organisation's identity provider for authentication and group membership.</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URS-133</w:t>
            </w:r>
          </w:p>
        </w:tc>
        <w:tc>
          <w:tcPr>
            <w:tcW w:type="dxa" w:w="7700"/>
          </w:tcPr>
          <w:p>
            <w:pPr>
              <w:spacing w:after="40" w:before="40"/>
            </w:pPr>
            <w:r>
              <w:rPr>
                <w:rFonts w:ascii="Arial" w:cs="Arial" w:eastAsia="Arial" w:hAnsi="Arial"/>
                <w:sz w:val="18"/>
                <w:szCs w:val="18"/>
              </w:rPr>
              <w:t xml:space="preserve">The system shall support at minimum 50,000 objects, 500 GB of content and 100 concurrent users, with headroom for 5 years of growth at the observed rate.</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URS-134</w:t>
            </w:r>
          </w:p>
        </w:tc>
        <w:tc>
          <w:tcPr>
            <w:tcW w:type="dxa" w:w="7700"/>
          </w:tcPr>
          <w:p>
            <w:pPr>
              <w:spacing w:after="40" w:before="40"/>
            </w:pPr>
            <w:r>
              <w:rPr>
                <w:rFonts w:ascii="Arial" w:cs="Arial" w:eastAsia="Arial" w:hAnsi="Arial"/>
                <w:sz w:val="18"/>
                <w:szCs w:val="18"/>
              </w:rPr>
              <w:t xml:space="preserve">The system shall not impose a limit on classification depth that is shallower than the approved model requires.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URS-135</w:t>
            </w:r>
          </w:p>
        </w:tc>
        <w:tc>
          <w:tcPr>
            <w:tcW w:type="dxa" w:w="7700"/>
          </w:tcPr>
          <w:p>
            <w:pPr>
              <w:spacing w:after="40" w:before="40"/>
            </w:pPr>
            <w:r>
              <w:rPr>
                <w:rFonts w:ascii="Arial" w:cs="Arial" w:eastAsia="Arial" w:hAnsi="Arial"/>
                <w:sz w:val="18"/>
                <w:szCs w:val="18"/>
              </w:rPr>
              <w:t xml:space="preserve">Availability, support and escalation shall be defined in a service level agreement.</w:t>
            </w:r>
          </w:p>
        </w:tc>
        <w:tc>
          <w:tcPr>
            <w:tcW w:type="dxa" w:w="800"/>
          </w:tcPr>
          <w:p>
            <w:pPr>
              <w:spacing w:after="40" w:before="40"/>
            </w:pPr>
            <w:r>
              <w:rPr>
                <w:rFonts w:ascii="Arial" w:cs="Arial" w:eastAsia="Arial" w:hAnsi="Arial"/>
                <w:b/>
                <w:bCs/>
                <w:sz w:val="18"/>
                <w:szCs w:val="18"/>
              </w:rPr>
              <w:t xml:space="preserve">S</w:t>
            </w:r>
          </w:p>
        </w:tc>
      </w:tr>
      <w:tr>
        <w:trPr>
          <w:cantSplit/>
        </w:trPr>
        <w:tc>
          <w:tcPr>
            <w:tcW w:type="dxa" w:w="1100"/>
            <w:shd w:fill="F2F2F2" w:val="clear"/>
          </w:tcPr>
          <w:p>
            <w:pPr>
              <w:spacing w:after="40" w:before="40"/>
            </w:pPr>
            <w:r>
              <w:rPr>
                <w:rFonts w:ascii="Arial" w:cs="Arial" w:eastAsia="Arial" w:hAnsi="Arial"/>
                <w:b/>
                <w:bCs/>
                <w:sz w:val="18"/>
                <w:szCs w:val="18"/>
              </w:rPr>
              <w:t xml:space="preserve">URS-136</w:t>
            </w:r>
          </w:p>
        </w:tc>
        <w:tc>
          <w:tcPr>
            <w:tcW w:type="dxa" w:w="7700"/>
          </w:tcPr>
          <w:p>
            <w:pPr>
              <w:spacing w:after="40" w:before="40"/>
            </w:pPr>
            <w:r>
              <w:rPr>
                <w:rFonts w:ascii="Arial" w:cs="Arial" w:eastAsia="Arial" w:hAnsi="Arial"/>
                <w:sz w:val="18"/>
                <w:szCs w:val="18"/>
              </w:rPr>
              <w:t xml:space="preserve">Data shall be exportable in an open, documented format on termination, including metadata and audit trail.</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URS-137</w:t>
            </w:r>
          </w:p>
        </w:tc>
        <w:tc>
          <w:tcPr>
            <w:tcW w:type="dxa" w:w="7700"/>
          </w:tcPr>
          <w:p>
            <w:pPr>
              <w:spacing w:after="40" w:before="40"/>
            </w:pPr>
            <w:r>
              <w:rPr>
                <w:rFonts w:ascii="Arial" w:cs="Arial" w:eastAsia="Arial" w:hAnsi="Arial"/>
                <w:sz w:val="18"/>
                <w:szCs w:val="18"/>
              </w:rPr>
              <w:t xml:space="preserve">The system shall expose a documented API sufficient to search and retrieve content and metadata under the caller's own permissions.</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URS-138</w:t>
            </w:r>
          </w:p>
        </w:tc>
        <w:tc>
          <w:tcPr>
            <w:tcW w:type="dxa" w:w="7700"/>
          </w:tcPr>
          <w:p>
            <w:pPr>
              <w:spacing w:after="40" w:before="40"/>
            </w:pPr>
            <w:r>
              <w:rPr>
                <w:rFonts w:ascii="Arial" w:cs="Arial" w:eastAsia="Arial" w:hAnsi="Arial"/>
                <w:sz w:val="18"/>
                <w:szCs w:val="18"/>
              </w:rPr>
              <w:t xml:space="preserve">Programmatic and AI access shall be authenticated as the requesting user and constrained by that user's effective permission profile. Service accounts with blanket read shall not be used for user-facing retrieval.</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URS-139</w:t>
            </w:r>
          </w:p>
        </w:tc>
        <w:tc>
          <w:tcPr>
            <w:tcW w:type="dxa" w:w="7700"/>
          </w:tcPr>
          <w:p>
            <w:pPr>
              <w:spacing w:after="40" w:before="40"/>
            </w:pPr>
            <w:r>
              <w:rPr>
                <w:rFonts w:ascii="Arial" w:cs="Arial" w:eastAsia="Arial" w:hAnsi="Arial"/>
                <w:sz w:val="18"/>
                <w:szCs w:val="18"/>
              </w:rPr>
              <w:t xml:space="preserve">Every programmatic and AI retrieval shall be recorded in the audit trail with the requesting user, the query and the objects returned.</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17. Validation and qualification</w:t>
      </w:r>
    </w:p>
    <w:p>
      <w:pPr>
        <w:spacing w:after="120"/>
      </w:pPr>
      <w:r>
        <w:rPr>
          <w:rFonts w:ascii="Arial" w:cs="Arial" w:eastAsia="Arial" w:hAnsi="Arial"/>
          <w:sz w:val="20"/>
          <w:szCs w:val="20"/>
        </w:rPr>
        <w:t xml:space="preserve">08_CSV exists as a domain for exactly this purpose. It does not currently contain a URS type folder — this document has no compliant home until that is corrected.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700"/>
        <w:gridCol w:w="800"/>
      </w:tblGrid>
      <w:tr>
        <w:trPr>
          <w:cantSplit/>
          <w:tblHeader/>
        </w:trPr>
        <w:tc>
          <w:tcPr>
            <w:tcW w:type="dxa" w:w="1100"/>
            <w:shd w:fill="1F3864" w:val="clear"/>
          </w:tcPr>
          <w:p>
            <w:pPr>
              <w:spacing w:after="40" w:before="40"/>
            </w:pPr>
            <w:r>
              <w:rPr>
                <w:rFonts w:ascii="Arial" w:cs="Arial" w:eastAsia="Arial" w:hAnsi="Arial"/>
                <w:b/>
                <w:bCs/>
                <w:color w:val="FFFFFF"/>
                <w:sz w:val="18"/>
                <w:szCs w:val="18"/>
              </w:rPr>
              <w:t xml:space="preserve">ID</w:t>
            </w:r>
          </w:p>
        </w:tc>
        <w:tc>
          <w:tcPr>
            <w:tcW w:type="dxa" w:w="7700"/>
            <w:shd w:fill="1F3864" w:val="clear"/>
          </w:tcPr>
          <w:p>
            <w:pPr>
              <w:spacing w:after="40" w:before="40"/>
            </w:pPr>
            <w:r>
              <w:rPr>
                <w:rFonts w:ascii="Arial" w:cs="Arial" w:eastAsia="Arial" w:hAnsi="Arial"/>
                <w:b/>
                <w:bCs/>
                <w:color w:val="FFFFFF"/>
                <w:sz w:val="18"/>
                <w:szCs w:val="18"/>
              </w:rPr>
              <w:t xml:space="preserve">Requirement</w:t>
            </w:r>
          </w:p>
        </w:tc>
        <w:tc>
          <w:tcPr>
            <w:tcW w:type="dxa" w:w="800"/>
            <w:shd w:fill="1F3864" w:val="clear"/>
          </w:tcPr>
          <w:p>
            <w:pPr>
              <w:spacing w:after="40" w:before="40"/>
            </w:pPr>
            <w:r>
              <w:rPr>
                <w:rFonts w:ascii="Arial" w:cs="Arial" w:eastAsia="Arial" w:hAnsi="Arial"/>
                <w:b/>
                <w:bCs/>
                <w:color w:val="FFFFFF"/>
                <w:sz w:val="18"/>
                <w:szCs w:val="18"/>
              </w:rPr>
              <w:t xml:space="preserve">Pri</w:t>
            </w:r>
          </w:p>
        </w:tc>
      </w:tr>
      <w:tr>
        <w:trPr>
          <w:cantSplit/>
        </w:trPr>
        <w:tc>
          <w:tcPr>
            <w:tcW w:type="dxa" w:w="1100"/>
            <w:shd w:fill="F2F2F2" w:val="clear"/>
          </w:tcPr>
          <w:p>
            <w:pPr>
              <w:spacing w:after="40" w:before="40"/>
            </w:pPr>
            <w:r>
              <w:rPr>
                <w:rFonts w:ascii="Arial" w:cs="Arial" w:eastAsia="Arial" w:hAnsi="Arial"/>
                <w:b/>
                <w:bCs/>
                <w:sz w:val="18"/>
                <w:szCs w:val="18"/>
              </w:rPr>
              <w:t xml:space="preserve">URS-140</w:t>
            </w:r>
          </w:p>
        </w:tc>
        <w:tc>
          <w:tcPr>
            <w:tcW w:type="dxa" w:w="7700"/>
          </w:tcPr>
          <w:p>
            <w:pPr>
              <w:spacing w:after="40" w:before="40"/>
            </w:pPr>
            <w:r>
              <w:rPr>
                <w:rFonts w:ascii="Arial" w:cs="Arial" w:eastAsia="Arial" w:hAnsi="Arial"/>
                <w:sz w:val="18"/>
                <w:szCs w:val="18"/>
              </w:rPr>
              <w:t xml:space="preserve">The supplier shall be assessed and the assessment recorded before contract.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URS-141</w:t>
            </w:r>
          </w:p>
        </w:tc>
        <w:tc>
          <w:tcPr>
            <w:tcW w:type="dxa" w:w="7700"/>
          </w:tcPr>
          <w:p>
            <w:pPr>
              <w:spacing w:after="40" w:before="40"/>
            </w:pPr>
            <w:r>
              <w:rPr>
                <w:rFonts w:ascii="Arial" w:cs="Arial" w:eastAsia="Arial" w:hAnsi="Arial"/>
                <w:sz w:val="18"/>
                <w:szCs w:val="18"/>
              </w:rPr>
              <w:t xml:space="preserve">The system shall be validated in accordance with GMG's computerised system validation approach, proportionate to its GxP classification.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URS-142</w:t>
            </w:r>
          </w:p>
        </w:tc>
        <w:tc>
          <w:tcPr>
            <w:tcW w:type="dxa" w:w="7700"/>
          </w:tcPr>
          <w:p>
            <w:pPr>
              <w:spacing w:after="40" w:before="40"/>
            </w:pPr>
            <w:r>
              <w:rPr>
                <w:rFonts w:ascii="Arial" w:cs="Arial" w:eastAsia="Arial" w:hAnsi="Arial"/>
                <w:sz w:val="18"/>
                <w:szCs w:val="18"/>
              </w:rPr>
              <w:t xml:space="preserve">Installation, operational and performance qualification shall be executed against approved protocols by a named executor with independent review.</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URS-143</w:t>
            </w:r>
          </w:p>
        </w:tc>
        <w:tc>
          <w:tcPr>
            <w:tcW w:type="dxa" w:w="7700"/>
          </w:tcPr>
          <w:p>
            <w:pPr>
              <w:spacing w:after="40" w:before="40"/>
            </w:pPr>
            <w:r>
              <w:rPr>
                <w:rFonts w:ascii="Arial" w:cs="Arial" w:eastAsia="Arial" w:hAnsi="Arial"/>
                <w:sz w:val="18"/>
                <w:szCs w:val="18"/>
              </w:rPr>
              <w:t xml:space="preserve">A traceability matrix shall link every requirement in this specification to at least one executed test.</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URS-144</w:t>
            </w:r>
          </w:p>
        </w:tc>
        <w:tc>
          <w:tcPr>
            <w:tcW w:type="dxa" w:w="7700"/>
          </w:tcPr>
          <w:p>
            <w:pPr>
              <w:spacing w:after="40" w:before="40"/>
            </w:pPr>
            <w:r>
              <w:rPr>
                <w:rFonts w:ascii="Arial" w:cs="Arial" w:eastAsia="Arial" w:hAnsi="Arial"/>
                <w:sz w:val="18"/>
                <w:szCs w:val="18"/>
              </w:rPr>
              <w:t xml:space="preserve">Negative testing shall be executed for every permission profile and for completed-record overwrite prevention.</w:t>
            </w:r>
          </w:p>
        </w:tc>
        <w:tc>
          <w:tcPr>
            <w:tcW w:type="dxa" w:w="800"/>
          </w:tcPr>
          <w:p>
            <w:pPr>
              <w:spacing w:after="40" w:before="40"/>
            </w:pPr>
            <w:r>
              <w:rPr>
                <w:rFonts w:ascii="Arial" w:cs="Arial" w:eastAsia="Arial" w:hAnsi="Arial"/>
                <w:b/>
                <w:bCs/>
                <w:sz w:val="18"/>
                <w:szCs w:val="18"/>
              </w:rPr>
              <w:t xml:space="preserve">M</w:t>
            </w:r>
          </w:p>
        </w:tc>
      </w:tr>
      <w:tr>
        <w:trPr>
          <w:cantSplit/>
        </w:trPr>
        <w:tc>
          <w:tcPr>
            <w:tcW w:type="dxa" w:w="1100"/>
            <w:shd w:fill="F2F2F2" w:val="clear"/>
          </w:tcPr>
          <w:p>
            <w:pPr>
              <w:spacing w:after="40" w:before="40"/>
            </w:pPr>
            <w:r>
              <w:rPr>
                <w:rFonts w:ascii="Arial" w:cs="Arial" w:eastAsia="Arial" w:hAnsi="Arial"/>
                <w:b/>
                <w:bCs/>
                <w:sz w:val="18"/>
                <w:szCs w:val="18"/>
              </w:rPr>
              <w:t xml:space="preserve">URS-145</w:t>
            </w:r>
          </w:p>
        </w:tc>
        <w:tc>
          <w:tcPr>
            <w:tcW w:type="dxa" w:w="7700"/>
          </w:tcPr>
          <w:p>
            <w:pPr>
              <w:spacing w:after="40" w:before="40"/>
            </w:pPr>
            <w:r>
              <w:rPr>
                <w:rFonts w:ascii="Arial" w:cs="Arial" w:eastAsia="Arial" w:hAnsi="Arial"/>
                <w:sz w:val="18"/>
                <w:szCs w:val="18"/>
              </w:rPr>
              <w:t xml:space="preserve">No requirement in this specification shall be closed by vendor assertion alone.</w:t>
            </w:r>
          </w:p>
        </w:tc>
        <w:tc>
          <w:tcPr>
            <w:tcW w:type="dxa" w:w="800"/>
          </w:tcPr>
          <w:p>
            <w:pPr>
              <w:spacing w:after="40" w:before="40"/>
            </w:pPr>
            <w:r>
              <w:rPr>
                <w:rFonts w:ascii="Arial" w:cs="Arial" w:eastAsia="Arial" w:hAnsi="Arial"/>
                <w:b/>
                <w:bCs/>
                <w:sz w:val="18"/>
                <w:szCs w:val="18"/>
              </w:rPr>
              <w:t xml:space="preserve">M</w:t>
            </w:r>
          </w:p>
        </w:tc>
      </w:tr>
    </w:tbl>
    <w:p>
      <w:pPr>
        <w:spacing w:after="160" w:before="320"/>
      </w:pPr>
      <w:r>
        <w:rPr>
          <w:rFonts w:ascii="Arial" w:cs="Arial" w:eastAsia="Arial" w:hAnsi="Arial"/>
          <w:b/>
          <w:bCs/>
          <w:color w:val="1F3864"/>
          <w:sz w:val="26"/>
          <w:szCs w:val="26"/>
        </w:rPr>
        <w:t xml:space="preserve">18. Out of scope</w:t>
      </w:r>
    </w:p>
    <w:p>
      <w:pPr>
        <w:spacing w:after="120"/>
      </w:pPr>
      <w:r>
        <w:rPr>
          <w:rFonts w:ascii="Arial" w:cs="Arial" w:eastAsia="Arial" w:hAnsi="Arial"/>
          <w:sz w:val="20"/>
          <w:szCs w:val="20"/>
        </w:rPr>
        <w:t xml:space="preserve">Email archiving, collaborative authoring, laboratory instrument data capture, and any function already served by an approved system of record are out of scope. Physical records management is out of scope except for the metadata describing physical holdings.</w:t>
      </w:r>
    </w:p>
    <w:p>
      <w:pPr>
        <w:spacing w:after="160" w:before="320"/>
      </w:pPr>
      <w:r>
        <w:rPr>
          <w:rFonts w:ascii="Arial" w:cs="Arial" w:eastAsia="Arial" w:hAnsi="Arial"/>
          <w:b/>
          <w:bCs/>
          <w:color w:val="1F3864"/>
          <w:sz w:val="26"/>
          <w:szCs w:val="26"/>
        </w:rPr>
        <w:t xml:space="preserve">19. Open decisions required before build</w:t>
      </w:r>
    </w:p>
    <w:p>
      <w:pPr>
        <w:spacing w:after="120"/>
      </w:pPr>
      <w:r>
        <w:rPr>
          <w:rFonts w:ascii="Arial" w:cs="Arial" w:eastAsia="Arial" w:hAnsi="Arial"/>
          <w:sz w:val="20"/>
          <w:szCs w:val="20"/>
        </w:rPr>
        <w:t xml:space="preserve">The following cannot be resolved by IT or by the supplier and must be closed by the accountable owner before configuration begins.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800"/>
      </w:tblGrid>
      <w:tr>
        <w:trPr>
          <w:cantSplit/>
          <w:tblHeader/>
        </w:trPr>
        <w:tc>
          <w:tcPr>
            <w:tcW w:type="dxa" w:w="700"/>
            <w:shd w:fill="1F3864" w:val="clear"/>
          </w:tcPr>
          <w:p>
            <w:pPr>
              <w:spacing w:after="40" w:before="40"/>
            </w:pPr>
            <w:r>
              <w:rPr>
                <w:rFonts w:ascii="Arial" w:cs="Arial" w:eastAsia="Arial" w:hAnsi="Arial"/>
                <w:b/>
                <w:bCs/>
                <w:color w:val="FFFFFF"/>
                <w:sz w:val="18"/>
                <w:szCs w:val="18"/>
              </w:rPr>
              <w:t xml:space="preserve">#</w:t>
            </w:r>
          </w:p>
        </w:tc>
        <w:tc>
          <w:tcPr>
            <w:tcW w:type="dxa" w:w="7100"/>
            <w:shd w:fill="1F3864" w:val="clear"/>
          </w:tcPr>
          <w:p>
            <w:pPr>
              <w:spacing w:after="40" w:before="40"/>
            </w:pPr>
            <w:r>
              <w:rPr>
                <w:rFonts w:ascii="Arial" w:cs="Arial" w:eastAsia="Arial" w:hAnsi="Arial"/>
                <w:b/>
                <w:bCs/>
                <w:color w:val="FFFFFF"/>
                <w:sz w:val="18"/>
                <w:szCs w:val="18"/>
              </w:rPr>
              <w:t xml:space="preserve">Decision</w:t>
            </w:r>
          </w:p>
        </w:tc>
        <w:tc>
          <w:tcPr>
            <w:tcW w:type="dxa" w:w="1800"/>
            <w:shd w:fill="1F3864" w:val="clear"/>
          </w:tcPr>
          <w:p>
            <w:pPr>
              <w:spacing w:after="40" w:before="40"/>
            </w:pPr>
            <w:r>
              <w:rPr>
                <w:rFonts w:ascii="Arial" w:cs="Arial" w:eastAsia="Arial" w:hAnsi="Arial"/>
                <w:b/>
                <w:bCs/>
                <w:color w:val="FFFFFF"/>
                <w:sz w:val="18"/>
                <w:szCs w:val="18"/>
              </w:rPr>
              <w:t xml:space="preserve">Owner</w:t>
            </w:r>
          </w:p>
        </w:tc>
      </w:tr>
      <w:tr>
        <w:tc>
          <w:tcPr>
            <w:tcW w:type="dxa" w:w="700"/>
            <w:shd w:fill="F2F2F2" w:val="clear"/>
          </w:tcPr>
          <w:p>
            <w:pPr>
              <w:spacing w:after="40" w:before="40"/>
            </w:pPr>
            <w:r>
              <w:rPr>
                <w:rFonts w:ascii="Arial" w:cs="Arial" w:eastAsia="Arial" w:hAnsi="Arial"/>
                <w:b/>
                <w:bCs/>
                <w:sz w:val="18"/>
                <w:szCs w:val="18"/>
              </w:rPr>
              <w:t xml:space="preserve">1</w:t>
            </w:r>
          </w:p>
        </w:tc>
        <w:tc>
          <w:tcPr>
            <w:tcW w:type="dxa" w:w="7100"/>
          </w:tcPr>
          <w:p>
            <w:pPr>
              <w:spacing w:after="40" w:before="40"/>
            </w:pPr>
            <w:r>
              <w:rPr>
                <w:rFonts w:ascii="Arial" w:cs="Arial" w:eastAsia="Arial" w:hAnsi="Arial"/>
                <w:sz w:val="18"/>
                <w:szCs w:val="18"/>
              </w:rPr>
              <w:t xml:space="preserve">GxP classification of the system, and therefore whether Annex 11 and Part 11 apply.</w:t>
            </w:r>
          </w:p>
        </w:tc>
        <w:tc>
          <w:tcPr>
            <w:tcW w:type="dxa" w:w="1800"/>
          </w:tcPr>
          <w:p>
            <w:pPr>
              <w:spacing w:after="40" w:before="40"/>
            </w:pPr>
            <w:r>
              <w:rPr>
                <w:rFonts w:ascii="Arial" w:cs="Arial" w:eastAsia="Arial" w:hAnsi="Arial"/>
                <w:sz w:val="18"/>
                <w:szCs w:val="18"/>
              </w:rPr>
              <w:t xml:space="preserve">Group Quality Director</w:t>
            </w:r>
          </w:p>
        </w:tc>
      </w:tr>
      <w:tr>
        <w:tc>
          <w:tcPr>
            <w:tcW w:type="dxa" w:w="700"/>
            <w:shd w:fill="F2F2F2" w:val="clear"/>
          </w:tcPr>
          <w:p>
            <w:pPr>
              <w:spacing w:after="40" w:before="40"/>
            </w:pPr>
            <w:r>
              <w:rPr>
                <w:rFonts w:ascii="Arial" w:cs="Arial" w:eastAsia="Arial" w:hAnsi="Arial"/>
                <w:b/>
                <w:bCs/>
                <w:sz w:val="18"/>
                <w:szCs w:val="18"/>
              </w:rPr>
              <w:t xml:space="preserve">2</w:t>
            </w:r>
          </w:p>
        </w:tc>
        <w:tc>
          <w:tcPr>
            <w:tcW w:type="dxa" w:w="7100"/>
          </w:tcPr>
          <w:p>
            <w:pPr>
              <w:spacing w:after="40" w:before="40"/>
            </w:pPr>
            <w:r>
              <w:rPr>
                <w:rFonts w:ascii="Arial" w:cs="Arial" w:eastAsia="Arial" w:hAnsi="Arial"/>
                <w:sz w:val="18"/>
                <w:szCs w:val="18"/>
              </w:rPr>
              <w:t xml:space="preserve">Which system is authoritative on go-live — this system or the folder tree. Everything else follows from this answer.</w:t>
            </w:r>
          </w:p>
        </w:tc>
        <w:tc>
          <w:tcPr>
            <w:tcW w:type="dxa" w:w="1800"/>
          </w:tcPr>
          <w:p>
            <w:pPr>
              <w:spacing w:after="40" w:before="40"/>
            </w:pPr>
            <w:r>
              <w:rPr>
                <w:rFonts w:ascii="Arial" w:cs="Arial" w:eastAsia="Arial" w:hAnsi="Arial"/>
                <w:sz w:val="18"/>
                <w:szCs w:val="18"/>
              </w:rPr>
              <w:t xml:space="preserve">GQD / IT / Records Management</w:t>
            </w:r>
          </w:p>
        </w:tc>
      </w:tr>
      <w:tr>
        <w:tc>
          <w:tcPr>
            <w:tcW w:type="dxa" w:w="700"/>
            <w:shd w:fill="F2F2F2" w:val="clear"/>
          </w:tcPr>
          <w:p>
            <w:pPr>
              <w:spacing w:after="40" w:before="40"/>
            </w:pPr>
            <w:r>
              <w:rPr>
                <w:rFonts w:ascii="Arial" w:cs="Arial" w:eastAsia="Arial" w:hAnsi="Arial"/>
                <w:b/>
                <w:bCs/>
                <w:sz w:val="18"/>
                <w:szCs w:val="18"/>
              </w:rPr>
              <w:t xml:space="preserve">3</w:t>
            </w:r>
          </w:p>
        </w:tc>
        <w:tc>
          <w:tcPr>
            <w:tcW w:type="dxa" w:w="7100"/>
          </w:tcPr>
          <w:p>
            <w:pPr>
              <w:spacing w:after="40" w:before="40"/>
            </w:pPr>
            <w:r>
              <w:rPr>
                <w:rFonts w:ascii="Arial" w:cs="Arial" w:eastAsia="Arial" w:hAnsi="Arial"/>
                <w:sz w:val="18"/>
                <w:szCs w:val="18"/>
              </w:rPr>
              <w:t xml:space="preserve">Whether a controlled document has components, and whether components version with the parent or independently. 44 PV annexes are unclassified pending this.</w:t>
            </w:r>
          </w:p>
        </w:tc>
        <w:tc>
          <w:tcPr>
            <w:tcW w:type="dxa" w:w="1800"/>
          </w:tcPr>
          <w:p>
            <w:pPr>
              <w:spacing w:after="40" w:before="40"/>
            </w:pPr>
            <w:r>
              <w:rPr>
                <w:rFonts w:ascii="Arial" w:cs="Arial" w:eastAsia="Arial" w:hAnsi="Arial"/>
                <w:sz w:val="18"/>
                <w:szCs w:val="18"/>
              </w:rPr>
              <w:t xml:space="preserve">QA Documentation</w:t>
            </w:r>
          </w:p>
        </w:tc>
      </w:tr>
      <w:tr>
        <w:tc>
          <w:tcPr>
            <w:tcW w:type="dxa" w:w="700"/>
            <w:shd w:fill="F2F2F2" w:val="clear"/>
          </w:tcPr>
          <w:p>
            <w:pPr>
              <w:spacing w:after="40" w:before="40"/>
            </w:pPr>
            <w:r>
              <w:rPr>
                <w:rFonts w:ascii="Arial" w:cs="Arial" w:eastAsia="Arial" w:hAnsi="Arial"/>
                <w:b/>
                <w:bCs/>
                <w:sz w:val="18"/>
                <w:szCs w:val="18"/>
              </w:rPr>
              <w:t xml:space="preserve">4</w:t>
            </w:r>
          </w:p>
        </w:tc>
        <w:tc>
          <w:tcPr>
            <w:tcW w:type="dxa" w:w="7100"/>
          </w:tcPr>
          <w:p>
            <w:pPr>
              <w:spacing w:after="40" w:before="40"/>
            </w:pPr>
            <w:r>
              <w:rPr>
                <w:rFonts w:ascii="Arial" w:cs="Arial" w:eastAsia="Arial" w:hAnsi="Arial"/>
                <w:sz w:val="18"/>
                <w:szCs w:val="18"/>
              </w:rPr>
              <w:t xml:space="preserve">Disposition of Superseded versus Retired for 141 migrated files whose source recorded the two states as one.</w:t>
            </w:r>
          </w:p>
        </w:tc>
        <w:tc>
          <w:tcPr>
            <w:tcW w:type="dxa" w:w="1800"/>
          </w:tcPr>
          <w:p>
            <w:pPr>
              <w:spacing w:after="40" w:before="40"/>
            </w:pPr>
            <w:r>
              <w:rPr>
                <w:rFonts w:ascii="Arial" w:cs="Arial" w:eastAsia="Arial" w:hAnsi="Arial"/>
                <w:sz w:val="18"/>
                <w:szCs w:val="18"/>
              </w:rPr>
              <w:t xml:space="preserve">QA Documentation</w:t>
            </w:r>
          </w:p>
        </w:tc>
      </w:tr>
      <w:tr>
        <w:tc>
          <w:tcPr>
            <w:tcW w:type="dxa" w:w="700"/>
            <w:shd w:fill="F2F2F2" w:val="clear"/>
          </w:tcPr>
          <w:p>
            <w:pPr>
              <w:spacing w:after="40" w:before="40"/>
            </w:pPr>
            <w:r>
              <w:rPr>
                <w:rFonts w:ascii="Arial" w:cs="Arial" w:eastAsia="Arial" w:hAnsi="Arial"/>
                <w:b/>
                <w:bCs/>
                <w:sz w:val="18"/>
                <w:szCs w:val="18"/>
              </w:rPr>
              <w:t xml:space="preserve">5</w:t>
            </w:r>
          </w:p>
        </w:tc>
        <w:tc>
          <w:tcPr>
            <w:tcW w:type="dxa" w:w="7100"/>
          </w:tcPr>
          <w:p>
            <w:pPr>
              <w:spacing w:after="40" w:before="40"/>
            </w:pPr>
            <w:r>
              <w:rPr>
                <w:rFonts w:ascii="Arial" w:cs="Arial" w:eastAsia="Arial" w:hAnsi="Arial"/>
                <w:sz w:val="18"/>
                <w:szCs w:val="18"/>
              </w:rPr>
              <w:t xml:space="preserve">Whether VOID is a modelled state or maps to Retired.</w:t>
            </w:r>
          </w:p>
        </w:tc>
        <w:tc>
          <w:tcPr>
            <w:tcW w:type="dxa" w:w="1800"/>
          </w:tcPr>
          <w:p>
            <w:pPr>
              <w:spacing w:after="40" w:before="40"/>
            </w:pPr>
            <w:r>
              <w:rPr>
                <w:rFonts w:ascii="Arial" w:cs="Arial" w:eastAsia="Arial" w:hAnsi="Arial"/>
                <w:sz w:val="18"/>
                <w:szCs w:val="18"/>
              </w:rPr>
              <w:t xml:space="preserve">QA Documentation</w:t>
            </w:r>
          </w:p>
        </w:tc>
      </w:tr>
      <w:tr>
        <w:tc>
          <w:tcPr>
            <w:tcW w:type="dxa" w:w="700"/>
            <w:shd w:fill="F2F2F2" w:val="clear"/>
          </w:tcPr>
          <w:p>
            <w:pPr>
              <w:spacing w:after="40" w:before="40"/>
            </w:pPr>
            <w:r>
              <w:rPr>
                <w:rFonts w:ascii="Arial" w:cs="Arial" w:eastAsia="Arial" w:hAnsi="Arial"/>
                <w:b/>
                <w:bCs/>
                <w:sz w:val="18"/>
                <w:szCs w:val="18"/>
              </w:rPr>
              <w:t xml:space="preserve">6</w:t>
            </w:r>
          </w:p>
        </w:tc>
        <w:tc>
          <w:tcPr>
            <w:tcW w:type="dxa" w:w="7100"/>
          </w:tcPr>
          <w:p>
            <w:pPr>
              <w:spacing w:after="40" w:before="40"/>
            </w:pPr>
            <w:r>
              <w:rPr>
                <w:rFonts w:ascii="Arial" w:cs="Arial" w:eastAsia="Arial" w:hAnsi="Arial"/>
                <w:sz w:val="18"/>
                <w:szCs w:val="18"/>
              </w:rPr>
              <w:t xml:space="preserve">Domain and function code approval. GMG-QMS-LOG-0006 has never been authored; 22 branches are provisioned but not approved.</w:t>
            </w:r>
          </w:p>
        </w:tc>
        <w:tc>
          <w:tcPr>
            <w:tcW w:type="dxa" w:w="1800"/>
          </w:tcPr>
          <w:p>
            <w:pPr>
              <w:spacing w:after="40" w:before="40"/>
            </w:pPr>
            <w:r>
              <w:rPr>
                <w:rFonts w:ascii="Arial" w:cs="Arial" w:eastAsia="Arial" w:hAnsi="Arial"/>
                <w:sz w:val="18"/>
                <w:szCs w:val="18"/>
              </w:rPr>
              <w:t xml:space="preserve">GQD / GRA / QPPV</w:t>
            </w:r>
          </w:p>
        </w:tc>
      </w:tr>
      <w:tr>
        <w:tc>
          <w:tcPr>
            <w:tcW w:type="dxa" w:w="700"/>
            <w:shd w:fill="F2F2F2" w:val="clear"/>
          </w:tcPr>
          <w:p>
            <w:pPr>
              <w:spacing w:after="40" w:before="40"/>
            </w:pPr>
            <w:r>
              <w:rPr>
                <w:rFonts w:ascii="Arial" w:cs="Arial" w:eastAsia="Arial" w:hAnsi="Arial"/>
                <w:b/>
                <w:bCs/>
                <w:sz w:val="18"/>
                <w:szCs w:val="18"/>
              </w:rPr>
              <w:t xml:space="preserve">7</w:t>
            </w:r>
          </w:p>
        </w:tc>
        <w:tc>
          <w:tcPr>
            <w:tcW w:type="dxa" w:w="7100"/>
          </w:tcPr>
          <w:p>
            <w:pPr>
              <w:spacing w:after="40" w:before="40"/>
            </w:pPr>
            <w:r>
              <w:rPr>
                <w:rFonts w:ascii="Arial" w:cs="Arial" w:eastAsia="Arial" w:hAnsi="Arial"/>
                <w:sz w:val="18"/>
                <w:szCs w:val="18"/>
              </w:rPr>
              <w:t xml:space="preserve">Record classes and retention schedules per class.</w:t>
            </w:r>
          </w:p>
        </w:tc>
        <w:tc>
          <w:tcPr>
            <w:tcW w:type="dxa" w:w="1800"/>
          </w:tcPr>
          <w:p>
            <w:pPr>
              <w:spacing w:after="40" w:before="40"/>
            </w:pPr>
            <w:r>
              <w:rPr>
                <w:rFonts w:ascii="Arial" w:cs="Arial" w:eastAsia="Arial" w:hAnsi="Arial"/>
                <w:sz w:val="18"/>
                <w:szCs w:val="18"/>
              </w:rPr>
              <w:t xml:space="preserve">Records Management / Legal</w:t>
            </w:r>
          </w:p>
        </w:tc>
      </w:tr>
      <w:tr>
        <w:tc>
          <w:tcPr>
            <w:tcW w:type="dxa" w:w="700"/>
            <w:shd w:fill="F2F2F2" w:val="clear"/>
          </w:tcPr>
          <w:p>
            <w:pPr>
              <w:spacing w:after="40" w:before="40"/>
            </w:pPr>
            <w:r>
              <w:rPr>
                <w:rFonts w:ascii="Arial" w:cs="Arial" w:eastAsia="Arial" w:hAnsi="Arial"/>
                <w:b/>
                <w:bCs/>
                <w:sz w:val="18"/>
                <w:szCs w:val="18"/>
              </w:rPr>
              <w:t xml:space="preserve">8</w:t>
            </w:r>
          </w:p>
        </w:tc>
        <w:tc>
          <w:tcPr>
            <w:tcW w:type="dxa" w:w="7100"/>
          </w:tcPr>
          <w:p>
            <w:pPr>
              <w:spacing w:after="40" w:before="40"/>
            </w:pPr>
            <w:r>
              <w:rPr>
                <w:rFonts w:ascii="Arial" w:cs="Arial" w:eastAsia="Arial" w:hAnsi="Arial"/>
                <w:sz w:val="18"/>
                <w:szCs w:val="18"/>
              </w:rPr>
              <w:t xml:space="preserve">Identity provider, security group model and membership approvers for 32 permission profiles.</w:t>
            </w:r>
          </w:p>
        </w:tc>
        <w:tc>
          <w:tcPr>
            <w:tcW w:type="dxa" w:w="1800"/>
          </w:tcPr>
          <w:p>
            <w:pPr>
              <w:spacing w:after="40" w:before="40"/>
            </w:pPr>
            <w:r>
              <w:rPr>
                <w:rFonts w:ascii="Arial" w:cs="Arial" w:eastAsia="Arial" w:hAnsi="Arial"/>
                <w:sz w:val="18"/>
                <w:szCs w:val="18"/>
              </w:rPr>
              <w:t xml:space="preserve">IT / ISM</w:t>
            </w:r>
          </w:p>
        </w:tc>
      </w:tr>
      <w:tr>
        <w:tc>
          <w:tcPr>
            <w:tcW w:type="dxa" w:w="700"/>
            <w:shd w:fill="F2F2F2" w:val="clear"/>
          </w:tcPr>
          <w:p>
            <w:pPr>
              <w:spacing w:after="40" w:before="40"/>
            </w:pPr>
            <w:r>
              <w:rPr>
                <w:rFonts w:ascii="Arial" w:cs="Arial" w:eastAsia="Arial" w:hAnsi="Arial"/>
                <w:b/>
                <w:bCs/>
                <w:sz w:val="18"/>
                <w:szCs w:val="18"/>
              </w:rPr>
              <w:t xml:space="preserve">9</w:t>
            </w:r>
          </w:p>
        </w:tc>
        <w:tc>
          <w:tcPr>
            <w:tcW w:type="dxa" w:w="7100"/>
          </w:tcPr>
          <w:p>
            <w:pPr>
              <w:spacing w:after="40" w:before="40"/>
            </w:pPr>
            <w:r>
              <w:rPr>
                <w:rFonts w:ascii="Arial" w:cs="Arial" w:eastAsia="Arial" w:hAnsi="Arial"/>
                <w:sz w:val="18"/>
                <w:szCs w:val="18"/>
              </w:rPr>
              <w:t xml:space="preserve">Disposition of the AUDIT branch. It is the only source branch with no mapping anywhere in the v0.22 crosswalk, which holds 4,158 rows — one per v0.22 source path. That figure is unrelated to the 4,185 folders in the target register.</w:t>
            </w:r>
          </w:p>
        </w:tc>
        <w:tc>
          <w:tcPr>
            <w:tcW w:type="dxa" w:w="1800"/>
          </w:tcPr>
          <w:p>
            <w:pPr>
              <w:spacing w:after="40" w:before="40"/>
            </w:pPr>
            <w:r>
              <w:rPr>
                <w:rFonts w:ascii="Arial" w:cs="Arial" w:eastAsia="Arial" w:hAnsi="Arial"/>
                <w:sz w:val="18"/>
                <w:szCs w:val="18"/>
              </w:rPr>
              <w:t xml:space="preserve">QA Documentation</w:t>
            </w:r>
          </w:p>
        </w:tc>
      </w:tr>
      <w:tr>
        <w:tc>
          <w:tcPr>
            <w:tcW w:type="dxa" w:w="700"/>
            <w:shd w:fill="F2F2F2" w:val="clear"/>
          </w:tcPr>
          <w:p>
            <w:pPr>
              <w:spacing w:after="40" w:before="40"/>
            </w:pPr>
            <w:r>
              <w:rPr>
                <w:rFonts w:ascii="Arial" w:cs="Arial" w:eastAsia="Arial" w:hAnsi="Arial"/>
                <w:b/>
                <w:bCs/>
                <w:sz w:val="18"/>
                <w:szCs w:val="18"/>
              </w:rPr>
              <w:t xml:space="preserve">10</w:t>
            </w:r>
          </w:p>
        </w:tc>
        <w:tc>
          <w:tcPr>
            <w:tcW w:type="dxa" w:w="7100"/>
          </w:tcPr>
          <w:p>
            <w:pPr>
              <w:spacing w:after="40" w:before="40"/>
            </w:pPr>
            <w:r>
              <w:rPr>
                <w:rFonts w:ascii="Arial" w:cs="Arial" w:eastAsia="Arial" w:hAnsi="Arial"/>
                <w:sz w:val="18"/>
                <w:szCs w:val="18"/>
              </w:rPr>
              <w:t xml:space="preserve">Entity model confirmation, including the replacement of Setonda S.L. by Grand Medical Ilaclari Ltd and the destination of Setonda PV records.</w:t>
            </w:r>
          </w:p>
        </w:tc>
        <w:tc>
          <w:tcPr>
            <w:tcW w:type="dxa" w:w="1800"/>
          </w:tcPr>
          <w:p>
            <w:pPr>
              <w:spacing w:after="40" w:before="40"/>
            </w:pPr>
            <w:r>
              <w:rPr>
                <w:rFonts w:ascii="Arial" w:cs="Arial" w:eastAsia="Arial" w:hAnsi="Arial"/>
                <w:sz w:val="18"/>
                <w:szCs w:val="18"/>
              </w:rPr>
              <w:t xml:space="preserve">Legal / Finance / HR</w:t>
            </w:r>
          </w:p>
        </w:tc>
      </w:tr>
    </w:tbl>
    <w:p>
      <w:pPr>
        <w:spacing w:after="160" w:before="320"/>
      </w:pPr>
      <w:r>
        <w:rPr>
          <w:rFonts w:ascii="Arial" w:cs="Arial" w:eastAsia="Arial" w:hAnsi="Arial"/>
          <w:b/>
          <w:bCs/>
          <w:color w:val="1F3864"/>
          <w:sz w:val="26"/>
          <w:szCs w:val="26"/>
        </w:rPr>
        <w:t xml:space="preserve">20. Related controlled documents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cantSplit/>
          <w:tblHeader/>
        </w:trPr>
        <w:tc>
          <w:tcPr>
            <w:tcW w:type="dxa" w:w="3400"/>
            <w:shd w:fill="1F3864" w:val="clear"/>
          </w:tcPr>
          <w:p>
            <w:pPr>
              <w:spacing w:after="40" w:before="40"/>
            </w:pPr>
            <w:r>
              <w:rPr>
                <w:rFonts w:ascii="Arial" w:cs="Arial" w:eastAsia="Arial" w:hAnsi="Arial"/>
                <w:b/>
                <w:bCs/>
                <w:color w:val="FFFFFF"/>
                <w:sz w:val="18"/>
                <w:szCs w:val="18"/>
              </w:rPr>
              <w:t xml:space="preserve">Reference</w:t>
            </w:r>
          </w:p>
        </w:tc>
        <w:tc>
          <w:tcPr>
            <w:tcW w:type="dxa" w:w="6200"/>
            <w:shd w:fill="1F3864" w:val="clear"/>
          </w:tcPr>
          <w:p>
            <w:pPr>
              <w:spacing w:after="40" w:before="40"/>
            </w:pPr>
            <w:r>
              <w:rPr>
                <w:rFonts w:ascii="Arial" w:cs="Arial" w:eastAsia="Arial" w:hAnsi="Arial"/>
                <w:b/>
                <w:bCs/>
                <w:color w:val="FFFFFF"/>
                <w:sz w:val="18"/>
                <w:szCs w:val="18"/>
              </w:rPr>
              <w:t xml:space="preserve">Relevance</w:t>
            </w:r>
          </w:p>
        </w:tc>
      </w:tr>
      <w:tr>
        <w:tc>
          <w:tcPr>
            <w:tcW w:type="dxa" w:w="3400"/>
            <w:shd w:fill="F2F2F2" w:val="clear"/>
          </w:tcPr>
          <w:p>
            <w:pPr>
              <w:spacing w:after="40" w:before="40"/>
            </w:pPr>
            <w:r>
              <w:rPr>
                <w:rFonts w:ascii="Arial" w:cs="Arial" w:eastAsia="Arial" w:hAnsi="Arial"/>
                <w:b/>
                <w:bCs/>
                <w:sz w:val="18"/>
                <w:szCs w:val="18"/>
              </w:rPr>
              <w:t xml:space="preserve">GMG-QMS-LOG-0007 v0.36</w:t>
            </w:r>
          </w:p>
        </w:tc>
        <w:tc>
          <w:tcPr>
            <w:tcW w:type="dxa" w:w="6200"/>
          </w:tcPr>
          <w:p>
            <w:pPr>
              <w:spacing w:after="40" w:before="40"/>
            </w:pPr>
            <w:r>
              <w:rPr>
                <w:rFonts w:ascii="Arial" w:cs="Arial" w:eastAsia="Arial" w:hAnsi="Arial"/>
                <w:sz w:val="18"/>
                <w:szCs w:val="18"/>
              </w:rPr>
              <w:t xml:space="preserve">The data model and the build list. Annexed to this specification.</w:t>
            </w:r>
          </w:p>
        </w:tc>
      </w:tr>
      <w:tr>
        <w:tc>
          <w:tcPr>
            <w:tcW w:type="dxa" w:w="3400"/>
            <w:shd w:fill="F2F2F2" w:val="clear"/>
          </w:tcPr>
          <w:p>
            <w:pPr>
              <w:spacing w:after="40" w:before="40"/>
            </w:pPr>
            <w:r>
              <w:rPr>
                <w:rFonts w:ascii="Arial" w:cs="Arial" w:eastAsia="Arial" w:hAnsi="Arial"/>
                <w:b/>
                <w:bCs/>
                <w:sz w:val="18"/>
                <w:szCs w:val="18"/>
              </w:rPr>
              <w:t xml:space="preserve">GMG-QMS-SOP-0001</w:t>
            </w:r>
          </w:p>
        </w:tc>
        <w:tc>
          <w:tcPr>
            <w:tcW w:type="dxa" w:w="6200"/>
          </w:tcPr>
          <w:p>
            <w:pPr>
              <w:spacing w:after="40" w:before="40"/>
            </w:pPr>
            <w:r>
              <w:rPr>
                <w:rFonts w:ascii="Arial" w:cs="Arial" w:eastAsia="Arial" w:hAnsi="Arial"/>
                <w:sz w:val="18"/>
                <w:szCs w:val="18"/>
              </w:rPr>
              <w:t xml:space="preserve">Document control. Defines what makes a document controlled.</w:t>
            </w:r>
          </w:p>
        </w:tc>
      </w:tr>
      <w:tr>
        <w:tc>
          <w:tcPr>
            <w:tcW w:type="dxa" w:w="3400"/>
            <w:shd w:fill="F2F2F2" w:val="clear"/>
          </w:tcPr>
          <w:p>
            <w:pPr>
              <w:spacing w:after="40" w:before="40"/>
            </w:pPr>
            <w:r>
              <w:rPr>
                <w:rFonts w:ascii="Arial" w:cs="Arial" w:eastAsia="Arial" w:hAnsi="Arial"/>
                <w:b/>
                <w:bCs/>
                <w:sz w:val="18"/>
                <w:szCs w:val="18"/>
              </w:rPr>
              <w:t xml:space="preserve">GMG-QMS-STD-00NN</w:t>
            </w:r>
          </w:p>
        </w:tc>
        <w:tc>
          <w:tcPr>
            <w:tcW w:type="dxa" w:w="6200"/>
          </w:tcPr>
          <w:p>
            <w:pPr>
              <w:spacing w:after="40" w:before="40"/>
            </w:pPr>
            <w:r>
              <w:rPr>
                <w:rFonts w:ascii="Arial" w:cs="Arial" w:eastAsia="Arial" w:hAnsi="Arial"/>
                <w:sz w:val="18"/>
                <w:szCs w:val="18"/>
              </w:rPr>
              <w:t xml:space="preserve">Storage, folder and naming standard. Source of the naming rules.</w:t>
            </w:r>
          </w:p>
        </w:tc>
      </w:tr>
      <w:tr>
        <w:tc>
          <w:tcPr>
            <w:tcW w:type="dxa" w:w="3400"/>
            <w:shd w:fill="F2F2F2" w:val="clear"/>
          </w:tcPr>
          <w:p>
            <w:pPr>
              <w:spacing w:after="40" w:before="40"/>
            </w:pPr>
            <w:r>
              <w:rPr>
                <w:rFonts w:ascii="Arial" w:cs="Arial" w:eastAsia="Arial" w:hAnsi="Arial"/>
                <w:b/>
                <w:bCs/>
                <w:sz w:val="18"/>
                <w:szCs w:val="18"/>
              </w:rPr>
              <w:t xml:space="preserve">GMG-QMS-LOG-0001</w:t>
            </w:r>
          </w:p>
        </w:tc>
        <w:tc>
          <w:tcPr>
            <w:tcW w:type="dxa" w:w="6200"/>
          </w:tcPr>
          <w:p>
            <w:pPr>
              <w:spacing w:after="40" w:before="40"/>
            </w:pPr>
            <w:r>
              <w:rPr>
                <w:rFonts w:ascii="Arial" w:cs="Arial" w:eastAsia="Arial" w:hAnsi="Arial"/>
                <w:sz w:val="18"/>
                <w:szCs w:val="18"/>
              </w:rPr>
              <w:t xml:space="preserve">Master document register. Source of codes and permanent UIDs.</w:t>
            </w:r>
          </w:p>
        </w:tc>
      </w:tr>
      <w:tr>
        <w:tc>
          <w:tcPr>
            <w:tcW w:type="dxa" w:w="3400"/>
            <w:shd w:fill="F2F2F2" w:val="clear"/>
          </w:tcPr>
          <w:p>
            <w:pPr>
              <w:spacing w:after="40" w:before="40"/>
            </w:pPr>
            <w:r>
              <w:rPr>
                <w:rFonts w:ascii="Arial" w:cs="Arial" w:eastAsia="Arial" w:hAnsi="Arial"/>
                <w:b/>
                <w:bCs/>
                <w:sz w:val="18"/>
                <w:szCs w:val="18"/>
              </w:rPr>
              <w:t xml:space="preserve">GMG-QMS-LOG-0005 / LOG-0006</w:t>
            </w:r>
          </w:p>
        </w:tc>
        <w:tc>
          <w:tcPr>
            <w:tcW w:type="dxa" w:w="6200"/>
          </w:tcPr>
          <w:p>
            <w:pPr>
              <w:spacing w:after="40" w:before="40"/>
            </w:pPr>
            <w:r>
              <w:rPr>
                <w:rFonts w:ascii="Arial" w:cs="Arial" w:eastAsia="Arial" w:hAnsi="Arial"/>
                <w:sz w:val="18"/>
                <w:szCs w:val="18"/>
              </w:rPr>
              <w:t xml:space="preserve">Entity and code registers. LOG-0006 not yet authored.</w:t>
            </w:r>
          </w:p>
        </w:tc>
      </w:tr>
      <w:tr>
        <w:tc>
          <w:tcPr>
            <w:tcW w:type="dxa" w:w="3400"/>
            <w:shd w:fill="F2F2F2" w:val="clear"/>
          </w:tcPr>
          <w:p>
            <w:pPr>
              <w:spacing w:after="40" w:before="40"/>
            </w:pPr>
            <w:r>
              <w:rPr>
                <w:rFonts w:ascii="Arial" w:cs="Arial" w:eastAsia="Arial" w:hAnsi="Arial"/>
                <w:b/>
                <w:bCs/>
                <w:sz w:val="18"/>
                <w:szCs w:val="18"/>
              </w:rPr>
              <w:t xml:space="preserve">LOG-0007 v0.36 sheet 09</w:t>
            </w:r>
          </w:p>
        </w:tc>
        <w:tc>
          <w:tcPr>
            <w:tcW w:type="dxa" w:w="6200"/>
          </w:tcPr>
          <w:p>
            <w:pPr>
              <w:spacing w:after="40" w:before="40"/>
            </w:pPr>
            <w:r>
              <w:rPr>
                <w:rFonts w:ascii="Arial" w:cs="Arial" w:eastAsia="Arial" w:hAnsi="Arial"/>
                <w:sz w:val="18"/>
                <w:szCs w:val="18"/>
              </w:rPr>
              <w:t xml:space="preserve">The 18 deterministic filing and authority rules. Supplied in the annexed register.</w:t>
            </w:r>
          </w:p>
        </w:tc>
      </w:tr>
      <w:tr>
        <w:tc>
          <w:tcPr>
            <w:tcW w:type="dxa" w:w="3400"/>
            <w:shd w:fill="F2F2F2" w:val="clear"/>
          </w:tcPr>
          <w:p>
            <w:pPr>
              <w:spacing w:after="40" w:before="40"/>
            </w:pPr>
            <w:r>
              <w:rPr>
                <w:rFonts w:ascii="Arial" w:cs="Arial" w:eastAsia="Arial" w:hAnsi="Arial"/>
                <w:b/>
                <w:bCs/>
                <w:sz w:val="18"/>
                <w:szCs w:val="18"/>
              </w:rPr>
              <w:t xml:space="preserve">LOG-0007 v0.36 sheet 08</w:t>
            </w:r>
          </w:p>
        </w:tc>
        <w:tc>
          <w:tcPr>
            <w:tcW w:type="dxa" w:w="6200"/>
          </w:tcPr>
          <w:p>
            <w:pPr>
              <w:spacing w:after="40" w:before="40"/>
            </w:pPr>
            <w:r>
              <w:rPr>
                <w:rFonts w:ascii="Arial" w:cs="Arial" w:eastAsia="Arial" w:hAnsi="Arial"/>
                <w:sz w:val="18"/>
                <w:szCs w:val="18"/>
              </w:rPr>
              <w:t xml:space="preserve">32 permission profiles. Supplied in the annexed register.</w:t>
            </w:r>
          </w:p>
        </w:tc>
      </w:tr>
      <w:tr>
        <w:tc>
          <w:tcPr>
            <w:tcW w:type="dxa" w:w="3400"/>
            <w:shd w:fill="F2F2F2" w:val="clear"/>
          </w:tcPr>
          <w:p>
            <w:pPr>
              <w:spacing w:after="40" w:before="40"/>
            </w:pPr>
            <w:r>
              <w:rPr>
                <w:rFonts w:ascii="Arial" w:cs="Arial" w:eastAsia="Arial" w:hAnsi="Arial"/>
                <w:b/>
                <w:bCs/>
                <w:sz w:val="18"/>
                <w:szCs w:val="18"/>
              </w:rPr>
              <w:t xml:space="preserve">LOG-0007 v0.36 sheet 11</w:t>
            </w:r>
          </w:p>
        </w:tc>
        <w:tc>
          <w:tcPr>
            <w:tcW w:type="dxa" w:w="6200"/>
          </w:tcPr>
          <w:p>
            <w:pPr>
              <w:spacing w:after="40" w:before="40"/>
            </w:pPr>
            <w:r>
              <w:rPr>
                <w:rFonts w:ascii="Arial" w:cs="Arial" w:eastAsia="Arial" w:hAnsi="Arial"/>
                <w:sz w:val="18"/>
                <w:szCs w:val="18"/>
              </w:rPr>
              <w:t xml:space="preserve">Go-live gate definitions, owners and closure evidence. Supplied in the annexed register.</w:t>
            </w:r>
          </w:p>
        </w:tc>
      </w:tr>
      <w:tr>
        <w:tc>
          <w:tcPr>
            <w:tcW w:type="dxa" w:w="3400"/>
            <w:shd w:fill="F2F2F2" w:val="clear"/>
          </w:tcPr>
          <w:p>
            <w:pPr>
              <w:spacing w:after="40" w:before="40"/>
            </w:pPr>
            <w:r>
              <w:rPr>
                <w:rFonts w:ascii="Arial" w:cs="Arial" w:eastAsia="Arial" w:hAnsi="Arial"/>
                <w:b/>
                <w:bCs/>
                <w:sz w:val="18"/>
                <w:szCs w:val="18"/>
              </w:rPr>
              <w:t xml:space="preserve">LOG-0007 v0.36 sheet 33</w:t>
            </w:r>
          </w:p>
        </w:tc>
        <w:tc>
          <w:tcPr>
            <w:tcW w:type="dxa" w:w="6200"/>
          </w:tcPr>
          <w:p>
            <w:pPr>
              <w:spacing w:after="40" w:before="40"/>
            </w:pPr>
            <w:r>
              <w:rPr>
                <w:rFonts w:ascii="Arial" w:cs="Arial" w:eastAsia="Arial" w:hAnsi="Arial"/>
                <w:sz w:val="18"/>
                <w:szCs w:val="18"/>
              </w:rPr>
              <w:t xml:space="preserve">IQ/OQ/UAT qualification protocol. Supplied in the annexed register.</w:t>
            </w:r>
          </w:p>
        </w:tc>
      </w:tr>
      <w:tr>
        <w:tc>
          <w:tcPr>
            <w:tcW w:type="dxa" w:w="3400"/>
            <w:shd w:fill="F2F2F2" w:val="clear"/>
          </w:tcPr>
          <w:p>
            <w:pPr>
              <w:spacing w:after="40" w:before="40"/>
            </w:pPr>
            <w:r>
              <w:rPr>
                <w:rFonts w:ascii="Arial" w:cs="Arial" w:eastAsia="Arial" w:hAnsi="Arial"/>
                <w:b/>
                <w:bCs/>
                <w:sz w:val="18"/>
                <w:szCs w:val="18"/>
              </w:rPr>
              <w:t xml:space="preserve">Annex Pack A1-A3, B, C, D</w:t>
            </w:r>
          </w:p>
        </w:tc>
        <w:tc>
          <w:tcPr>
            <w:tcW w:type="dxa" w:w="6200"/>
          </w:tcPr>
          <w:p>
            <w:pPr>
              <w:spacing w:after="40" w:before="40"/>
            </w:pPr>
            <w:r>
              <w:rPr>
                <w:rFonts w:ascii="Arial" w:cs="Arial" w:eastAsia="Arial" w:hAnsi="Arial"/>
                <w:sz w:val="18"/>
                <w:szCs w:val="18"/>
              </w:rPr>
              <w:t xml:space="preserve">RBAC matrix, migration manifest, vocabulary dictionary, traceability matrix.</w:t>
            </w:r>
          </w:p>
        </w:tc>
      </w:tr>
    </w:tbl>
    <w:p>
      <w:pPr>
        <w:spacing w:after="160" w:before="320"/>
      </w:pPr>
      <w:r>
        <w:rPr>
          <w:rFonts w:ascii="Arial" w:cs="Arial" w:eastAsia="Arial" w:hAnsi="Arial"/>
          <w:b/>
          <w:bCs/>
          <w:color w:val="1F3864"/>
          <w:sz w:val="26"/>
          <w:szCs w:val="26"/>
        </w:rPr>
        <w:t xml:space="preserve">21. Conditions before operational use</w:t>
      </w:r>
    </w:p>
    <w:p>
      <w:pPr>
        <w:spacing w:after="120"/>
      </w:pPr>
      <w:r>
        <w:rPr>
          <w:rFonts w:ascii="Arial" w:cs="Arial" w:eastAsia="Arial" w:hAnsi="Arial"/>
          <w:sz w:val="20"/>
          <w:szCs w:val="20"/>
        </w:rPr>
        <w:t xml:space="preserve">This document is a DRAFT and confers no authority. It must be reviewed and approved under GMG-QMS-SOP-0001 before issue to a supplier.</w:t>
      </w:r>
    </w:p>
    <w:p>
      <w:pPr>
        <w:spacing w:after="120"/>
      </w:pPr>
      <w:r>
        <w:rPr>
          <w:rFonts w:ascii="Arial" w:cs="Arial" w:eastAsia="Arial" w:hAnsi="Arial"/>
          <w:sz w:val="20"/>
          <w:szCs w:val="20"/>
        </w:rPr>
        <w:t xml:space="preserve">Its own filing location does not yet exist. 08_CSV has no URS type folder in the approved register — its type set is AGR, CHK, FRM, LOG, MTX, PLN, SOP, TPL and WIN. The domain provisioned for computerised system validation has no home for the document that specifies a computerised system. This must be corrected in the register before this document can be filed compliantly.</w:t>
      </w:r>
    </w:p>
    <w:p>
      <w:pPr>
        <w:spacing w:after="120"/>
      </w:pPr>
      <w:r>
        <w:rPr>
          <w:rFonts w:ascii="Arial" w:cs="Arial" w:eastAsia="Arial" w:hAnsi="Arial"/>
          <w:sz w:val="20"/>
          <w:szCs w:val="20"/>
        </w:rPr>
        <w:t xml:space="preserve">The ten decisions in section 19 must be closed before configuration begins. Six of them are already open findings carried from the migration analysis; none is created by this specification.</w:t>
      </w:r>
    </w:p>
    <w:p>
      <w:pPr>
        <w:spacing w:after="160" w:before="320"/>
      </w:pPr>
      <w:r>
        <w:rPr>
          <w:rFonts w:ascii="Arial" w:cs="Arial" w:eastAsia="Arial" w:hAnsi="Arial"/>
          <w:b/>
          <w:bCs/>
          <w:color w:val="1F3864"/>
          <w:sz w:val="26"/>
          <w:szCs w:val="26"/>
        </w:rPr>
        <w:t xml:space="preserve">22. 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200"/>
        <w:gridCol w:w="1600"/>
      </w:tblGrid>
      <w:tr>
        <w:trPr>
          <w:cantSplit/>
          <w:tblHeader/>
        </w:trPr>
        <w:tc>
          <w:tcPr>
            <w:tcW w:type="dxa" w:w="1200"/>
            <w:shd w:fill="1F3864" w:val="clear"/>
          </w:tcPr>
          <w:p>
            <w:pPr>
              <w:spacing w:after="40" w:before="40"/>
            </w:pPr>
            <w:r>
              <w:rPr>
                <w:rFonts w:ascii="Arial" w:cs="Arial" w:eastAsia="Arial" w:hAnsi="Arial"/>
                <w:b/>
                <w:bCs/>
                <w:color w:val="FFFFFF"/>
                <w:sz w:val="18"/>
                <w:szCs w:val="18"/>
              </w:rPr>
              <w:t xml:space="preserve">Version</w:t>
            </w:r>
          </w:p>
        </w:tc>
        <w:tc>
          <w:tcPr>
            <w:tcW w:type="dxa" w:w="1600"/>
            <w:shd w:fill="1F3864" w:val="clear"/>
          </w:tcPr>
          <w:p>
            <w:pPr>
              <w:spacing w:after="40" w:before="40"/>
            </w:pPr>
            <w:r>
              <w:rPr>
                <w:rFonts w:ascii="Arial" w:cs="Arial" w:eastAsia="Arial" w:hAnsi="Arial"/>
                <w:b/>
                <w:bCs/>
                <w:color w:val="FFFFFF"/>
                <w:sz w:val="18"/>
                <w:szCs w:val="18"/>
              </w:rPr>
              <w:t xml:space="preserve">Date</w:t>
            </w:r>
          </w:p>
        </w:tc>
        <w:tc>
          <w:tcPr>
            <w:tcW w:type="dxa" w:w="5200"/>
            <w:shd w:fill="1F3864" w:val="clear"/>
          </w:tcPr>
          <w:p>
            <w:pPr>
              <w:spacing w:after="40" w:before="40"/>
            </w:pPr>
            <w:r>
              <w:rPr>
                <w:rFonts w:ascii="Arial" w:cs="Arial" w:eastAsia="Arial" w:hAnsi="Arial"/>
                <w:b/>
                <w:bCs/>
                <w:color w:val="FFFFFF"/>
                <w:sz w:val="18"/>
                <w:szCs w:val="18"/>
              </w:rPr>
              <w:t xml:space="preserve">Summary</w:t>
            </w:r>
          </w:p>
        </w:tc>
        <w:tc>
          <w:tcPr>
            <w:tcW w:type="dxa" w:w="1600"/>
            <w:shd w:fill="1F3864" w:val="clear"/>
          </w:tcPr>
          <w:p>
            <w:pPr>
              <w:spacing w:after="40" w:before="40"/>
            </w:pPr>
            <w:r>
              <w:rPr>
                <w:rFonts w:ascii="Arial" w:cs="Arial" w:eastAsia="Arial" w:hAnsi="Arial"/>
                <w:b/>
                <w:bCs/>
                <w:color w:val="FFFFFF"/>
                <w:sz w:val="18"/>
                <w:szCs w:val="18"/>
              </w:rPr>
              <w:t xml:space="preserve">Author</w:t>
            </w:r>
          </w:p>
        </w:tc>
      </w:tr>
      <w:tr>
        <w:trPr>
          <w:cantSplit/>
        </w:trPr>
        <w:tc>
          <w:tcPr>
            <w:tcW w:type="dxa" w:w="1200"/>
            <w:shd w:fill="F2F2F2" w:val="clear"/>
          </w:tcPr>
          <w:p>
            <w:pPr>
              <w:spacing w:after="40" w:before="40"/>
            </w:pPr>
            <w:r>
              <w:rPr>
                <w:rFonts w:ascii="Arial" w:cs="Arial" w:eastAsia="Arial" w:hAnsi="Arial"/>
                <w:b/>
                <w:bCs/>
                <w:sz w:val="18"/>
                <w:szCs w:val="18"/>
              </w:rPr>
              <w:t xml:space="preserve">0.1</w:t>
            </w:r>
          </w:p>
        </w:tc>
        <w:tc>
          <w:tcPr>
            <w:tcW w:type="dxa" w:w="1600"/>
          </w:tcPr>
          <w:p>
            <w:pPr>
              <w:spacing w:after="40" w:before="40"/>
            </w:pPr>
            <w:r>
              <w:rPr>
                <w:rFonts w:ascii="Arial" w:cs="Arial" w:eastAsia="Arial" w:hAnsi="Arial"/>
                <w:sz w:val="18"/>
                <w:szCs w:val="18"/>
              </w:rPr>
              <w:t xml:space="preserve">2026-08-12</w:t>
            </w:r>
          </w:p>
        </w:tc>
        <w:tc>
          <w:tcPr>
            <w:tcW w:type="dxa" w:w="5200"/>
          </w:tcPr>
          <w:p>
            <w:pPr>
              <w:spacing w:after="40" w:before="40"/>
            </w:pPr>
            <w:r>
              <w:rPr>
                <w:rFonts w:ascii="Arial" w:cs="Arial" w:eastAsia="Arial" w:hAnsi="Arial"/>
                <w:sz w:val="18"/>
                <w:szCs w:val="18"/>
              </w:rPr>
              <w:t xml:space="preserve">Initial draft. 92 requirements across 14 areas, derived from GMG-QMS-LOG-0007 v0.34 and from conditions observed during migration analysis of the 1,631-file source estate.</w:t>
            </w:r>
          </w:p>
        </w:tc>
        <w:tc>
          <w:tcPr>
            <w:tcW w:type="dxa" w:w="1600"/>
          </w:tcPr>
          <w:p>
            <w:pPr>
              <w:spacing w:after="40" w:before="40"/>
            </w:pPr>
            <w:r>
              <w:rPr>
                <w:rFonts w:ascii="Arial" w:cs="Arial" w:eastAsia="Arial" w:hAnsi="Arial"/>
                <w:sz w:val="18"/>
                <w:szCs w:val="18"/>
              </w:rPr>
              <w:t xml:space="preserve">[To be confirmed]</w:t>
            </w:r>
          </w:p>
        </w:tc>
      </w:tr>
      <w:tr>
        <w:trPr>
          <w:cantSplit/>
        </w:trPr>
        <w:tc>
          <w:tcPr>
            <w:tcW w:type="dxa" w:w="1200"/>
            <w:shd w:fill="F2F2F2" w:val="clear"/>
          </w:tcPr>
          <w:p>
            <w:pPr>
              <w:spacing w:after="40" w:before="40"/>
            </w:pPr>
            <w:r>
              <w:rPr>
                <w:rFonts w:ascii="Arial" w:cs="Arial" w:eastAsia="Arial" w:hAnsi="Arial"/>
                <w:b/>
                <w:bCs/>
                <w:sz w:val="18"/>
                <w:szCs w:val="18"/>
              </w:rPr>
              <w:t xml:space="preserve">0.2</w:t>
            </w:r>
          </w:p>
        </w:tc>
        <w:tc>
          <w:tcPr>
            <w:tcW w:type="dxa" w:w="1600"/>
          </w:tcPr>
          <w:p>
            <w:pPr>
              <w:spacing w:after="40" w:before="40"/>
            </w:pPr>
            <w:r>
              <w:rPr>
                <w:rFonts w:ascii="Arial" w:cs="Arial" w:eastAsia="Arial" w:hAnsi="Arial"/>
                <w:sz w:val="18"/>
                <w:szCs w:val="18"/>
              </w:rPr>
              <w:t xml:space="preserve">2026-08-12</w:t>
            </w:r>
          </w:p>
        </w:tc>
        <w:tc>
          <w:tcPr>
            <w:tcW w:type="dxa" w:w="5200"/>
          </w:tcPr>
          <w:p>
            <w:pPr>
              <w:spacing w:after="40" w:before="40"/>
            </w:pPr>
            <w:r>
              <w:rPr>
                <w:rFonts w:ascii="Arial" w:cs="Arial" w:eastAsia="Arial" w:hAnsi="Arial"/>
                <w:sz w:val="18"/>
                <w:szCs w:val="18"/>
              </w:rPr>
              <w:t xml:space="preserve">Revision following independent review. URS-016 CORRECTED: entity codes are never reassigned; retired codes stay permanently bound to historical records; new entities receive new codes (URS-016a, 016b added). Section 2 corrected: Part 11 applicability determined by FDA predicate rule per record class, not by submission support; Annex 11 by documented intended-use assessment. Non-functional requirements made measurable (URS-131, 131a-d, 133). API and AI access requirements added (URS-137 to 139). Table headers set to repeat and requirement rows set not to split across pages. 101 requirements.</w:t>
            </w:r>
          </w:p>
        </w:tc>
        <w:tc>
          <w:tcPr>
            <w:tcW w:type="dxa" w:w="1600"/>
          </w:tcPr>
          <w:p>
            <w:pPr>
              <w:spacing w:after="40" w:before="40"/>
            </w:pPr>
            <w:r>
              <w:rPr>
                <w:rFonts w:ascii="Arial" w:cs="Arial" w:eastAsia="Arial" w:hAnsi="Arial"/>
                <w:sz w:val="18"/>
                <w:szCs w:val="18"/>
              </w:rPr>
              <w:t xml:space="preserve">[To be confirmed]</w:t>
            </w:r>
          </w:p>
        </w:tc>
      </w:tr>
      <w:tr>
        <w:trPr>
          <w:cantSplit/>
        </w:trPr>
        <w:tc>
          <w:tcPr>
            <w:tcW w:type="dxa" w:w="1200"/>
            <w:shd w:fill="F2F2F2" w:val="clear"/>
          </w:tcPr>
          <w:p>
            <w:pPr>
              <w:spacing w:after="40" w:before="40"/>
            </w:pPr>
            <w:r>
              <w:rPr>
                <w:rFonts w:ascii="Arial" w:cs="Arial" w:eastAsia="Arial" w:hAnsi="Arial"/>
                <w:b/>
                <w:bCs/>
                <w:sz w:val="18"/>
                <w:szCs w:val="18"/>
              </w:rPr>
              <w:t xml:space="preserve">0.3</w:t>
            </w:r>
          </w:p>
        </w:tc>
        <w:tc>
          <w:tcPr>
            <w:tcW w:type="dxa" w:w="1600"/>
          </w:tcPr>
          <w:p>
            <w:pPr>
              <w:spacing w:after="40" w:before="40"/>
            </w:pPr>
            <w:r>
              <w:rPr>
                <w:rFonts w:ascii="Arial" w:cs="Arial" w:eastAsia="Arial" w:hAnsi="Arial"/>
                <w:sz w:val="18"/>
                <w:szCs w:val="18"/>
              </w:rPr>
              <w:t xml:space="preserve">2026-08-12</w:t>
            </w:r>
          </w:p>
        </w:tc>
        <w:tc>
          <w:tcPr>
            <w:tcW w:type="dxa" w:w="5200"/>
          </w:tcPr>
          <w:p>
            <w:pPr>
              <w:spacing w:after="40" w:before="40"/>
            </w:pPr>
            <w:r>
              <w:rPr>
                <w:rFonts w:ascii="Arial" w:cs="Arial" w:eastAsia="Arial" w:hAnsi="Arial"/>
                <w:sz w:val="18"/>
                <w:szCs w:val="18"/>
              </w:rPr>
              <w:t xml:space="preserve">Document-control correction following second independent review. Control-block version corrected to match the title. Parent document and section 1 and 4 references corrected to LOG-0007 v0.36. Migration figures reconciled to Annex B: 1,236 promoted, 330 held, 65 staged only. Crosswalk row count clarified as v0.22 source paths, distinct from target folder count. Section 20 references repointed to sheets now supplied in the annexed register. Revision-history rows set not to split. URS-071a and URS-071b added to close the 54 compound permission profiles. 103 requirements.</w:t>
            </w:r>
          </w:p>
        </w:tc>
        <w:tc>
          <w:tcPr>
            <w:tcW w:type="dxa" w:w="1600"/>
          </w:tcPr>
          <w:p>
            <w:pPr>
              <w:spacing w:after="40" w:before="40"/>
            </w:pPr>
            <w:r>
              <w:rPr>
                <w:rFonts w:ascii="Arial" w:cs="Arial" w:eastAsia="Arial" w:hAnsi="Arial"/>
                <w:sz w:val="18"/>
                <w:szCs w:val="18"/>
              </w:rPr>
              <w:t xml:space="preserve">[To be confirmed]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Grand Medical Group · Internal · DRAFT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GMG-CSV-URS-0001 v0.3 DRAFT — not for operational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2026-08-24T08:45:35.759Z</dcterms:created>
  <dcterms:modified xsi:type="dcterms:W3CDTF">2026-08-24T08:45:35.760Z</dcterms:modified>
</cp:coreProperties>
</file>

<file path=docProps/custom.xml><?xml version="1.0" encoding="utf-8"?>
<Properties xmlns="http://schemas.openxmlformats.org/officeDocument/2006/custom-properties" xmlns:vt="http://schemas.openxmlformats.org/officeDocument/2006/docPropsVTypes"/>
</file>