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30"/>
          <w:szCs w:val="30"/>
        </w:rPr>
        <w:t xml:space="preserve">Master 8.7 — Gating, Capacity, Release Decisions and Deprecation: Change Note</w:t>
      </w:r>
    </w:p>
    <w:p>
      <w:pPr>
        <w:spacing w:after="100"/>
      </w:pPr>
      <w:r>
        <w:rPr>
          <w:rFonts w:ascii="Arial" w:cs="Arial" w:eastAsia="Arial" w:hAnsi="Arial"/>
          <w:b w:val="false"/>
          <w:bCs w:val="false"/>
          <w:sz w:val="20"/>
          <w:szCs w:val="20"/>
        </w:rPr>
        <w:t xml:space="preserve">Date: 17 October 2026. Instructed by: Chief Executive Officer.</w:t>
      </w:r>
    </w:p>
    <w:p>
      <w:pPr>
        <w:spacing w:after="80" w:before="200"/>
      </w:pPr>
      <w:r>
        <w:rPr>
          <w:rFonts w:ascii="Arial" w:cs="Arial" w:eastAsia="Arial" w:hAnsi="Arial"/>
          <w:b/>
          <w:bCs/>
          <w:color w:val="2F5496"/>
          <w:sz w:val="22"/>
          <w:szCs w:val="22"/>
        </w:rPr>
        <w:t xml:space="preserve">1. Prerequisite gating (priority 1) — done</w:t>
      </w:r>
    </w:p>
    <w:p>
      <w:pPr>
        <w:spacing w:after="100"/>
      </w:pPr>
      <w:r>
        <w:rPr>
          <w:rFonts w:ascii="Arial" w:cs="Arial" w:eastAsia="Arial" w:hAnsi="Arial"/>
          <w:b w:val="false"/>
          <w:bCs w:val="false"/>
          <w:sz w:val="20"/>
          <w:szCs w:val="20"/>
        </w:rPr>
        <w:t xml:space="preserve">A prerequisite now counts as Verified only when its own Stage is Verified or Released AND its own evidence gates pass (no missing evidence, independent verifier). Otherwise it is treated as at most Tested (Dep_Calc column N, "Target Effective Stage"). Dependants show "not effectively Verified".</w:t>
      </w:r>
    </w:p>
    <w:p>
      <w:pPr>
        <w:spacing w:after="80" w:before="200"/>
      </w:pPr>
      <w:r>
        <w:rPr>
          <w:rFonts w:ascii="Arial" w:cs="Arial" w:eastAsia="Arial" w:hAnsi="Arial"/>
          <w:b/>
          <w:bCs/>
          <w:color w:val="2F5496"/>
          <w:sz w:val="22"/>
          <w:szCs w:val="22"/>
        </w:rPr>
        <w:t xml:space="preserve">2. Seed from verified project evidence — not done</w:t>
      </w:r>
    </w:p>
    <w:p>
      <w:pPr>
        <w:spacing w:after="100"/>
      </w:pPr>
      <w:r>
        <w:rPr>
          <w:rFonts w:ascii="Arial" w:cs="Arial" w:eastAsia="Arial" w:hAnsi="Arial"/>
          <w:b/>
          <w:bCs/>
          <w:sz w:val="20"/>
          <w:szCs w:val="20"/>
        </w:rPr>
        <w:t xml:space="preserve">No verified project evidence is available in the workbook or this session. The workbook evidences only 5 main-developed capabilities, with no owners, test or verification links. Owners, stages and links were therefore not invented. All 364 modules remain at Not Started. Seeding needs the repository or a code-reality/status report.</w:t>
      </w:r>
    </w:p>
    <w:p>
      <w:pPr>
        <w:spacing w:after="80" w:before="200"/>
      </w:pPr>
      <w:r>
        <w:rPr>
          <w:rFonts w:ascii="Arial" w:cs="Arial" w:eastAsia="Arial" w:hAnsi="Arial"/>
          <w:b/>
          <w:bCs/>
          <w:color w:val="2F5496"/>
          <w:sz w:val="22"/>
          <w:szCs w:val="22"/>
        </w:rPr>
        <w:t xml:space="preserve">3. Ranges expand automatically</w:t>
      </w:r>
    </w:p>
    <w:p>
      <w:pPr>
        <w:spacing w:after="100"/>
      </w:pPr>
      <w:r>
        <w:rPr>
          <w:rFonts w:ascii="Arial" w:cs="Arial" w:eastAsia="Arial" w:hAnsi="Arial"/>
          <w:b w:val="false"/>
          <w:bCs w:val="false"/>
          <w:sz w:val="20"/>
          <w:szCs w:val="20"/>
        </w:rPr>
        <w:t xml:space="preserve">Dev_Readiness formulas are pre-filled and blank-safe to row 1008, matching the Blueprint_Data capacity. To add a module, type its MOD-ID in the next empty row and all columns calculate. Dep_Calc is extended to row 3000 (1,579 rows used). Summaries, validations and conditional formatting cover the full capacity. New integrity checks: entries beyond capacity, and duplicate MOD-IDs. Tested by adding a module and a dependency row on a scratch copy: both calculated automatically.</w:t>
      </w:r>
    </w:p>
    <w:p>
      <w:pPr>
        <w:spacing w:after="80" w:before="200"/>
      </w:pPr>
      <w:r>
        <w:rPr>
          <w:rFonts w:ascii="Arial" w:cs="Arial" w:eastAsia="Arial" w:hAnsi="Arial"/>
          <w:b/>
          <w:bCs/>
          <w:color w:val="2F5496"/>
          <w:sz w:val="22"/>
          <w:szCs w:val="22"/>
        </w:rPr>
        <w:t xml:space="preserve">4. Release_Gate — two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438"/>
      </w:tblGrid>
      <w:tr>
        <w:tc>
          <w:tcPr>
            <w:tcW w:type="dxa" w:w="4300"/>
            <w:tcBorders>
              <w:top w:val="single" w:color="BFBFBF" w:sz="4"/>
              <w:left w:val="single" w:color="BFBFBF" w:sz="4"/>
              <w:bottom w:val="single" w:color="BFBFBF" w:sz="4"/>
              <w:right w:val="single" w:color="BFBFBF" w:sz="4"/>
            </w:tcBorders>
            <w:shd w:fill="D9E1F2" w:color="auto" w:val="clear"/>
            <w:tcMar>
              <w:top w:type="dxa" w:w="30"/>
              <w:left w:type="dxa" w:w="70"/>
              <w:bottom w:type="dxa" w:w="30"/>
              <w:right w:type="dxa" w:w="70"/>
            </w:tcMar>
          </w:tcPr>
          <w:p>
            <w:r>
              <w:rPr>
                <w:rFonts w:ascii="Arial" w:cs="Arial" w:eastAsia="Arial" w:hAnsi="Arial"/>
                <w:b/>
                <w:bCs/>
                <w:sz w:val="17"/>
                <w:szCs w:val="17"/>
              </w:rPr>
              <w:t xml:space="preserve">Block</w:t>
            </w:r>
          </w:p>
        </w:tc>
        <w:tc>
          <w:tcPr>
            <w:tcW w:type="dxa" w:w="2900"/>
            <w:tcBorders>
              <w:top w:val="single" w:color="BFBFBF" w:sz="4"/>
              <w:left w:val="single" w:color="BFBFBF" w:sz="4"/>
              <w:bottom w:val="single" w:color="BFBFBF" w:sz="4"/>
              <w:right w:val="single" w:color="BFBFBF" w:sz="4"/>
            </w:tcBorders>
            <w:shd w:fill="D9E1F2" w:color="auto" w:val="clear"/>
            <w:tcMar>
              <w:top w:type="dxa" w:w="30"/>
              <w:left w:type="dxa" w:w="70"/>
              <w:bottom w:type="dxa" w:w="30"/>
              <w:right w:type="dxa" w:w="70"/>
            </w:tcMar>
          </w:tcPr>
          <w:p>
            <w:r>
              <w:rPr>
                <w:rFonts w:ascii="Arial" w:cs="Arial" w:eastAsia="Arial" w:hAnsi="Arial"/>
                <w:b/>
                <w:bCs/>
                <w:sz w:val="17"/>
                <w:szCs w:val="17"/>
              </w:rPr>
              <w:t xml:space="preserve">Decision</w:t>
            </w:r>
          </w:p>
        </w:tc>
        <w:tc>
          <w:tcPr>
            <w:tcW w:type="dxa" w:w="2438"/>
            <w:tcBorders>
              <w:top w:val="single" w:color="BFBFBF" w:sz="4"/>
              <w:left w:val="single" w:color="BFBFBF" w:sz="4"/>
              <w:bottom w:val="single" w:color="BFBFBF" w:sz="4"/>
              <w:right w:val="single" w:color="BFBFBF" w:sz="4"/>
            </w:tcBorders>
            <w:shd w:fill="D9E1F2" w:color="auto" w:val="clear"/>
            <w:tcMar>
              <w:top w:type="dxa" w:w="30"/>
              <w:left w:type="dxa" w:w="70"/>
              <w:bottom w:type="dxa" w:w="30"/>
              <w:right w:type="dxa" w:w="70"/>
            </w:tcMar>
          </w:tcPr>
          <w:p>
            <w:r>
              <w:rPr>
                <w:rFonts w:ascii="Arial" w:cs="Arial" w:eastAsia="Arial" w:hAnsi="Arial"/>
                <w:b/>
                <w:bCs/>
                <w:sz w:val="17"/>
                <w:szCs w:val="17"/>
              </w:rPr>
              <w:t xml:space="preserve">Today</w:t>
            </w:r>
          </w:p>
        </w:tc>
      </w:tr>
      <w:tr>
        <w:tc>
          <w:tcPr>
            <w:tcW w:type="dxa" w:w="43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A. Blueprint readiness (structure: dependencies, sequence, SoR, operating-model fields)</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BLUEPRINT GO / NO-GO</w:t>
            </w:r>
          </w:p>
        </w:tc>
        <w:tc>
          <w:tcPr>
            <w:tcW w:type="dxa" w:w="24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BLUEPRINT GO</w:t>
            </w:r>
          </w:p>
        </w:tc>
      </w:tr>
      <w:tr>
        <w:tc>
          <w:tcPr>
            <w:tcW w:type="dxa" w:w="43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B. Development release readiness (every R1 module built, tested, independently verified with evidence; no BLOCKED, GATE FAIL or VIOLATION)</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DEV RELEASE READY / NOT READY</w:t>
            </w:r>
          </w:p>
        </w:tc>
        <w:tc>
          <w:tcPr>
            <w:tcW w:type="dxa" w:w="24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DEV NOT READY (15 of 15 not yet Verified)</w:t>
            </w:r>
          </w:p>
        </w:tc>
      </w:tr>
      <w:tr>
        <w:tc>
          <w:tcPr>
            <w:tcW w:type="dxa" w:w="43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Combined</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RELEASE GO only when A = BLUEPRINT GO and B = DEV RELEASE READY</w:t>
            </w:r>
          </w:p>
        </w:tc>
        <w:tc>
          <w:tcPr>
            <w:tcW w:type="dxa" w:w="24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RELEASE NO-GO</w:t>
            </w:r>
          </w:p>
        </w:tc>
      </w:tr>
      <w:tr>
        <w:tc>
          <w:tcPr>
            <w:tcW w:type="dxa" w:w="43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C. Workbook integrity</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9 coverage checks</w:t>
            </w:r>
          </w:p>
        </w:tc>
        <w:tc>
          <w:tcPr>
            <w:tcW w:type="dxa" w:w="24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all PASS</w:t>
            </w:r>
          </w:p>
        </w:tc>
      </w:tr>
    </w:tbl>
    <w:p>
      <w:pPr>
        <w:spacing w:after="80" w:before="200"/>
      </w:pPr>
      <w:r>
        <w:rPr>
          <w:rFonts w:ascii="Arial" w:cs="Arial" w:eastAsia="Arial" w:hAnsi="Arial"/>
          <w:b/>
          <w:bCs/>
          <w:color w:val="2F5496"/>
          <w:sz w:val="22"/>
          <w:szCs w:val="22"/>
        </w:rPr>
        <w:t xml:space="preserve">5. Cleanup candidates — deprecated, nothing deleted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3238"/>
      </w:tblGrid>
      <w:tr>
        <w:tc>
          <w:tcPr>
            <w:tcW w:type="dxa" w:w="3300"/>
            <w:tcBorders>
              <w:top w:val="single" w:color="BFBFBF" w:sz="4"/>
              <w:left w:val="single" w:color="BFBFBF" w:sz="4"/>
              <w:bottom w:val="single" w:color="BFBFBF" w:sz="4"/>
              <w:right w:val="single" w:color="BFBFBF" w:sz="4"/>
            </w:tcBorders>
            <w:shd w:fill="D9E1F2" w:color="auto" w:val="clear"/>
            <w:tcMar>
              <w:top w:type="dxa" w:w="30"/>
              <w:left w:type="dxa" w:w="70"/>
              <w:bottom w:type="dxa" w:w="30"/>
              <w:right w:type="dxa" w:w="70"/>
            </w:tcMar>
          </w:tcPr>
          <w:p>
            <w:r>
              <w:rPr>
                <w:rFonts w:ascii="Arial" w:cs="Arial" w:eastAsia="Arial" w:hAnsi="Arial"/>
                <w:b/>
                <w:bCs/>
                <w:sz w:val="17"/>
                <w:szCs w:val="17"/>
              </w:rPr>
              <w:t xml:space="preserve">Sheet(s)</w:t>
            </w:r>
          </w:p>
        </w:tc>
        <w:tc>
          <w:tcPr>
            <w:tcW w:type="dxa" w:w="3100"/>
            <w:tcBorders>
              <w:top w:val="single" w:color="BFBFBF" w:sz="4"/>
              <w:left w:val="single" w:color="BFBFBF" w:sz="4"/>
              <w:bottom w:val="single" w:color="BFBFBF" w:sz="4"/>
              <w:right w:val="single" w:color="BFBFBF" w:sz="4"/>
            </w:tcBorders>
            <w:shd w:fill="D9E1F2" w:color="auto" w:val="clear"/>
            <w:tcMar>
              <w:top w:type="dxa" w:w="30"/>
              <w:left w:type="dxa" w:w="70"/>
              <w:bottom w:type="dxa" w:w="30"/>
              <w:right w:type="dxa" w:w="70"/>
            </w:tcMar>
          </w:tcPr>
          <w:p>
            <w:r>
              <w:rPr>
                <w:rFonts w:ascii="Arial" w:cs="Arial" w:eastAsia="Arial" w:hAnsi="Arial"/>
                <w:b/>
                <w:bCs/>
                <w:sz w:val="17"/>
                <w:szCs w:val="17"/>
              </w:rPr>
              <w:t xml:space="preserve">In-workbook consumers</w:t>
            </w:r>
          </w:p>
        </w:tc>
        <w:tc>
          <w:tcPr>
            <w:tcW w:type="dxa" w:w="3238"/>
            <w:tcBorders>
              <w:top w:val="single" w:color="BFBFBF" w:sz="4"/>
              <w:left w:val="single" w:color="BFBFBF" w:sz="4"/>
              <w:bottom w:val="single" w:color="BFBFBF" w:sz="4"/>
              <w:right w:val="single" w:color="BFBFBF" w:sz="4"/>
            </w:tcBorders>
            <w:shd w:fill="D9E1F2" w:color="auto" w:val="clear"/>
            <w:tcMar>
              <w:top w:type="dxa" w:w="30"/>
              <w:left w:type="dxa" w:w="70"/>
              <w:bottom w:type="dxa" w:w="30"/>
              <w:right w:type="dxa" w:w="70"/>
            </w:tcMar>
          </w:tcPr>
          <w:p>
            <w:r>
              <w:rPr>
                <w:rFonts w:ascii="Arial" w:cs="Arial" w:eastAsia="Arial" w:hAnsi="Arial"/>
                <w:b/>
                <w:bCs/>
                <w:sz w:val="17"/>
                <w:szCs w:val="17"/>
              </w:rPr>
              <w:t xml:space="preserve">Action in 8.7</w:t>
            </w:r>
          </w:p>
        </w:tc>
      </w:tr>
      <w:t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Sheet6</w:t>
            </w:r>
          </w:p>
        </w:tc>
        <w:tc>
          <w:tcPr>
            <w:tcW w:type="dxa" w:w="31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None</w:t>
            </w:r>
          </w:p>
        </w:tc>
        <w:tc>
          <w:tcPr>
            <w:tcW w:type="dxa" w:w="32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DEPRECATED: read-only, grey tab, moved to end</w:t>
            </w:r>
          </w:p>
        </w:tc>
      </w:tr>
      <w:t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Dependencies</w:t>
            </w:r>
          </w:p>
        </w:tc>
        <w:tc>
          <w:tcPr>
            <w:tcW w:type="dxa" w:w="31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Dep_Calc column C name fallback (used by 0 rows today)</w:t>
            </w:r>
          </w:p>
        </w:tc>
        <w:tc>
          <w:tcPr>
            <w:tcW w:type="dxa" w:w="32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DEPRECATED: read-only, moved to end; remove the fallback before retiring</w:t>
            </w:r>
          </w:p>
        </w:tc>
      </w:tr>
      <w:t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NAV / Module_Gap / Agent_Modules / HCM / Talent_Ecosystem / MG _Update_Summary</w:t>
            </w:r>
          </w:p>
        </w:tc>
        <w:tc>
          <w:tcPr>
            <w:tcW w:type="dxa" w:w="31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None (content captured in CHANGE_LOG)</w:t>
            </w:r>
          </w:p>
        </w:tc>
        <w:tc>
          <w:tcPr>
            <w:tcW w:type="dxa" w:w="32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DEPRECATED: read-only, moved to end; candidates for an archive workbook (MG chart and table kept)</w:t>
            </w:r>
          </w:p>
        </w:tc>
      </w:tr>
      <w:t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Review_View_Diff_8.2</w:t>
            </w:r>
          </w:p>
        </w:tc>
        <w:tc>
          <w:tcPr>
            <w:tcW w:type="dxa" w:w="31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None</w:t>
            </w:r>
          </w:p>
        </w:tc>
        <w:tc>
          <w:tcPr>
            <w:tcW w:type="dxa" w:w="32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DEPRECATED: read-only, moved to end; archive as audit evidence</w:t>
            </w:r>
          </w:p>
        </w:tc>
      </w:tr>
      <w:tr>
        <w:tc>
          <w:tcPr>
            <w:tcW w:type="dxa" w:w="33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Module Status</w:t>
            </w:r>
          </w:p>
        </w:tc>
        <w:tc>
          <w:tcPr>
            <w:tcW w:type="dxa" w:w="31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None</w:t>
            </w:r>
          </w:p>
        </w:tc>
        <w:tc>
          <w:tcPr>
            <w:tcW w:type="dxa" w:w="32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Reviewed and kept active: unique per-module dependency drill-down not in Dev_Readiness</w:t>
            </w:r>
          </w:p>
        </w:tc>
      </w:tr>
    </w:tbl>
    <w:p>
      <w:pPr>
        <w:spacing w:after="100"/>
      </w:pPr>
      <w:r>
        <w:rPr>
          <w:rFonts w:ascii="Arial" w:cs="Arial" w:eastAsia="Arial" w:hAnsi="Arial"/>
          <w:b w:val="false"/>
          <w:bCs w:val="false"/>
          <w:sz w:val="20"/>
          <w:szCs w:val="20"/>
        </w:rPr>
        <w:t xml:space="preserve">Kept as they are: Architecture_Decision_Items, Legacy_ID_Migration_Map, Dependency_Resolution_Register, gap registers and change logs. Not yet checked: external tools, scripts and code that read these sheets. That needs the repository consumer check.</w:t>
      </w:r>
    </w:p>
    <w:p>
      <w:pPr>
        <w:spacing w:after="80" w:before="200"/>
      </w:pPr>
      <w:r>
        <w:rPr>
          <w:rFonts w:ascii="Arial" w:cs="Arial" w:eastAsia="Arial" w:hAnsi="Arial"/>
          <w:b/>
          <w:bCs/>
          <w:color w:val="2F5496"/>
          <w:sz w:val="22"/>
          <w:szCs w:val="22"/>
        </w:rPr>
        <w:t xml:space="preserve">Unchanged and verified</w:t>
      </w:r>
    </w:p>
    <w:p>
      <w:pPr>
        <w:spacing w:after="100"/>
      </w:pPr>
      <w:r>
        <w:rPr>
          <w:rFonts w:ascii="Arial" w:cs="Arial" w:eastAsia="Arial" w:hAnsi="Arial"/>
          <w:b w:val="false"/>
          <w:bCs w:val="false"/>
          <w:sz w:val="20"/>
          <w:szCs w:val="20"/>
        </w:rPr>
        <w:t xml:space="preserve">Blueprint_Data and Dependencies_Normalized are identical to 8.6c, and so is the content of all deprecated sheets. 0 missing dependencies. The five accepted out-of-sequence exceptions are still documented (ADR-8.3B-8e-001). 0 formula errors (the 7 flagged cells are the known text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shd w:fill="D9E1F2" w:color="auto" w:val="clear"/>
            <w:tcMar>
              <w:top w:type="dxa" w:w="30"/>
              <w:left w:type="dxa" w:w="70"/>
              <w:bottom w:type="dxa" w:w="30"/>
              <w:right w:type="dxa" w:w="70"/>
            </w:tcMar>
          </w:tcPr>
          <w:p>
            <w:r>
              <w:rPr>
                <w:rFonts w:ascii="Arial" w:cs="Arial" w:eastAsia="Arial" w:hAnsi="Arial"/>
                <w:b/>
                <w:bCs/>
                <w:sz w:val="17"/>
                <w:szCs w:val="17"/>
              </w:rPr>
              <w:t xml:space="preserve">Item</w:t>
            </w:r>
          </w:p>
        </w:tc>
        <w:tc>
          <w:tcPr>
            <w:tcW w:type="dxa" w:w="7038"/>
            <w:tcBorders>
              <w:top w:val="single" w:color="BFBFBF" w:sz="4"/>
              <w:left w:val="single" w:color="BFBFBF" w:sz="4"/>
              <w:bottom w:val="single" w:color="BFBFBF" w:sz="4"/>
              <w:right w:val="single" w:color="BFBFBF" w:sz="4"/>
            </w:tcBorders>
            <w:shd w:fill="D9E1F2" w:color="auto" w:val="clear"/>
            <w:tcMar>
              <w:top w:type="dxa" w:w="30"/>
              <w:left w:type="dxa" w:w="70"/>
              <w:bottom w:type="dxa" w:w="30"/>
              <w:right w:type="dxa" w:w="70"/>
            </w:tcMar>
          </w:tcPr>
          <w:p>
            <w:r>
              <w:rPr>
                <w:rFonts w:ascii="Arial" w:cs="Arial" w:eastAsia="Arial" w:hAnsi="Arial"/>
                <w:b/>
                <w:bCs/>
                <w:sz w:val="17"/>
                <w:szCs w:val="17"/>
              </w:rPr>
              <w:t xml:space="preserve">Value</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Input</w:t>
            </w:r>
          </w:p>
        </w:tc>
        <w:tc>
          <w:tcPr>
            <w:tcW w:type="dxa" w:w="70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System Capability &amp; Implementation Blueprint - master 8.6c.xlsx</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Output</w:t>
            </w:r>
          </w:p>
        </w:tc>
        <w:tc>
          <w:tcPr>
            <w:tcW w:type="dxa" w:w="70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System Capability &amp; Implementation Blueprint - master 8.7.xlsx</w:t>
            </w:r>
          </w:p>
        </w:tc>
      </w:tr>
      <w:tr>
        <w:tc>
          <w:tcPr>
            <w:tcW w:type="dxa" w:w="26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Output SHA-256</w:t>
            </w:r>
          </w:p>
        </w:tc>
        <w:tc>
          <w:tcPr>
            <w:tcW w:type="dxa" w:w="7038"/>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917373c949b8944031b9980a80c0235b8d406a44d8a4a6c96ed686abe9a7606e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2026-10-16T21:15:31.160Z</dcterms:created>
  <dcterms:modified xsi:type="dcterms:W3CDTF">2026-10-16T21:15:31.164Z</dcterms:modified>
</cp:coreProperties>
</file>

<file path=docProps/custom.xml><?xml version="1.0" encoding="utf-8"?>
<Properties xmlns="http://schemas.openxmlformats.org/officeDocument/2006/custom-properties" xmlns:vt="http://schemas.openxmlformats.org/officeDocument/2006/docPropsVTypes"/>
</file>