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dule-mapping-scm-planning-requirements"/>
    <w:p>
      <w:pPr>
        <w:pStyle w:val="Heading1"/>
      </w:pPr>
      <w:r>
        <w:t xml:space="preserve">Module mapping — SCM planning requirements</w:t>
      </w:r>
    </w:p>
    <w:p>
      <w:pPr>
        <w:pStyle w:val="FirstParagraph"/>
      </w:pPr>
      <w:r>
        <w:t xml:space="preserve">🤖 Applying knowledge of</w:t>
      </w:r>
      <w:r>
        <w:t xml:space="preserve"> </w:t>
      </w:r>
      <w:r>
        <w:t xml:space="preserve">@business-analyst</w:t>
      </w:r>
      <w:r>
        <w:t xml:space="preserve"> </w:t>
      </w:r>
      <w:r>
        <w:t xml:space="preserve">+</w:t>
      </w:r>
      <w:r>
        <w:t xml:space="preserve"> </w:t>
      </w:r>
      <w:r>
        <w:t xml:space="preserve">@product-manager</w:t>
      </w:r>
      <w:r>
        <w:t xml:space="preserve">. Source of module identities:</w:t>
      </w:r>
      <w:r>
        <w:t xml:space="preserve"> </w:t>
      </w:r>
      <w:r>
        <w:rPr>
          <w:rStyle w:val="VerbatimChar"/>
        </w:rPr>
        <w:t xml:space="preserve">execution/registries/module-id-registry.md</w:t>
      </w:r>
      <w:r>
        <w:t xml:space="preserve"> </w:t>
      </w:r>
      <w:r>
        <w:t xml:space="preserve">(sha256</w:t>
      </w:r>
      <w:r>
        <w:t xml:space="preserve"> </w:t>
      </w:r>
      <w:r>
        <w:rPr>
          <w:rStyle w:val="VerbatimChar"/>
        </w:rPr>
        <w:t xml:space="preserve">1f217e17…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execution/domains/supply-chain-execution/domain-config.md</w:t>
      </w:r>
      <w:r>
        <w:t xml:space="preserve"> </w:t>
      </w:r>
      <w:r>
        <w:t xml:space="preserve">(</w:t>
      </w:r>
      <w:r>
        <w:rPr>
          <w:rStyle w:val="VerbatimChar"/>
        </w:rPr>
        <w:t xml:space="preserve">c49ec37a…</w:t>
      </w:r>
      <w:r>
        <w:t xml:space="preserve">). No module ID is created and nothing is decided here.</w:t>
      </w:r>
    </w:p>
    <w:bookmarkStart w:id="20" w:name="X737c432e678d4169f423b6017471dd808fc7981"/>
    <w:p>
      <w:pPr>
        <w:pStyle w:val="Heading2"/>
      </w:pPr>
      <w:r>
        <w:t xml:space="preserve">1. Requirements per target module (RULES.tsv, 60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MOD-0188 Demand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SOP-15; SOP-24 (as demand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plan split per wholesaler; sell-out forecast as the demand signal; forecast snapshots and accuracy (G2)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MOD-0189 MRP &amp; Replenishment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SOP-26, 27, 29, 30, 33, 34, 39, 40, 41; AO-01, 02, 03, 04, 05, 07, 08, 09, 12, 20, 26, 27, 30,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 need/forecast, CWH and main-WH stock projection, production and order needs with lead-time offsets, lot sizing, order-forecast list and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MOD-0191 Safety Stock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SOP-37, 38; AO-03,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Obligatory and safety stock, months-of-cover; statistical option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MOD-0172 Allocation &amp; ATP/CTP</w:t>
            </w:r>
            <w:r>
              <w:t xml:space="preserve"> </w:t>
            </w:r>
            <w:r>
              <w:t xml:space="preserve">(Commercial)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SOP-28, 31; AO-06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Proforma-based shipment plan, reservations by country, available stock across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MOD-0173 Inventory Ledger &amp;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SOP-30/31/32/39 (actuals), AO-06,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/ non-reserved stock actuals per 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MOD-0174 Lot/Batch/Serial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SOP-36; AO-10,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actual from batch creation; batch/expiry data; serial data (G9)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MOD-0176 Expiry / FEFO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written in the files (G7)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shelf life, FEFO — recommended addition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MOD-0194 Work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SOP-35; AO-17, 21,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order/window, status flow up to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MOD-0195 Batch Execution / eBR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SOP-36; AO-15, 16, 18,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data, CoA, batch release (G10)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MOD-0197 Co-Manufacturer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SOP-35; AO-09, 17, 18, 20, 21, 22, 23, 25, 26, 28, 29,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to external manufacturer, statuses and actions, permissions, third-party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MOD-0148 Supplier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login to the order page (portal access 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MOD-0190 S&amp;OP Workflow &amp; Sign-offs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(G6)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cycle, frozen snapshot and sign-off — no rule in the files, recommended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MOD-0192 Capacity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(G5)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check of order needs — no rule in the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GAP-DCS</w:t>
            </w:r>
            <w:r>
              <w:t xml:space="preserve"> </w:t>
            </w:r>
            <w:r>
              <w:t xml:space="preserve">(distributor channel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SOP-16, 17, 18, 19, 20, 21, 22, 23, 24, 25, 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Sell-in, GIT invoices, credit notes, wholesaler stock, sell-out, relocation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GAP-ART</w:t>
            </w:r>
            <w:r>
              <w:t xml:space="preserve"> </w:t>
            </w:r>
            <w:r>
              <w:t xml:space="preserve">(artwork / mock-up)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AO-13, 14, 22,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 and mock-up per component with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AO-10 (serialization, see 0174), AO-11 (registration status from Regulatory Affairs)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Consumed data, owner outside SCM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unknown (OQ-AO-12)</w:t>
            </w:r>
          </w:p>
        </w:tc>
      </w:tr>
    </w:tbl>
    <w:bookmarkEnd w:id="20"/>
    <w:bookmarkStart w:id="21" w:name="what-mvp6-already-covers"/>
    <w:p>
      <w:pPr>
        <w:pStyle w:val="Heading2"/>
      </w:pPr>
      <w:r>
        <w:t xml:space="preserve">2. What MVP6 already covers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MVP6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MOD-0190 S&amp;OP Workflow &amp; Sign-offs (backend, CT-accepted isolated package)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S&amp;OP plan, immutable snapshot of input references, role sign-offs (</w:t>
            </w:r>
            <w:r>
              <w:rPr>
                <w:rStyle w:val="VerbatimChar"/>
              </w:rPr>
              <w:t xml:space="preserve">/api/supply-chain/sandop-plans/**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calculation in the two files; it consumes frozen DEMAND by reference and never becomes a demand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MOD-0192 Capacity Planning (backend, bounded acceptance)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plans, scenarios, evaluations/bottlenecks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Shipment, stock, production or order calculations; production scheduling</w:t>
            </w:r>
          </w:p>
        </w:tc>
      </w:tr>
    </w:tbl>
    <w:p>
      <w:pPr>
        <w:pStyle w:val="BodyText"/>
      </w:pPr>
      <w:r>
        <w:t xml:space="preserve">None of the 28 S&amp;OP lines or the 32 Automatic_Order rules is implemented by MVP6.</w:t>
      </w:r>
    </w:p>
    <w:bookmarkEnd w:id="21"/>
    <w:bookmarkStart w:id="24" w:name="gap-areas-ownership-options-no-decision"/>
    <w:p>
      <w:pPr>
        <w:pStyle w:val="Heading2"/>
      </w:pPr>
      <w:r>
        <w:t xml:space="preserve">3. GAP areas — ownership options (no decision)</w:t>
      </w:r>
    </w:p>
    <w:bookmarkStart w:id="22" w:name="Xa88c11235efe8a4036fa9b0ba618a2bd8813097"/>
    <w:p>
      <w:pPr>
        <w:pStyle w:val="Heading3"/>
      </w:pPr>
      <w:r>
        <w:t xml:space="preserve">GAP-DCS — distributor channel stock (sell-in / GIT invoices / credit notes / wholesaler stock / sell-out)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SCM: extend MOD-0188 Demand Planning with a channel-inventory sub-scope (sell-in consumed from O2C invoices, sell-out and wholesaler stock captured in SCM)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to demand planning; one planning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 and credit notes are Commercial facts; risk of a second invoice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/ O2C owns sell-in, GIT invoices and credit notes; SCM (0188/0189) consumes them read-only; wholesaler stock and sell-out captured in a Commercial channel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fact stays with its system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owners for one screen; needs a contract between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dedicated module (channel inventory / distributor management) through DCP-002 identity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ownership, can include distributor portal/EDI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ID, new pack, more governance; does not exist today</w:t>
            </w:r>
          </w:p>
        </w:tc>
      </w:tr>
    </w:tbl>
    <w:bookmarkEnd w:id="22"/>
    <w:bookmarkStart w:id="23" w:name="gap-art-artwork-and-mock-up-approval"/>
    <w:p>
      <w:pPr>
        <w:pStyle w:val="Heading3"/>
      </w:pPr>
      <w:r>
        <w:t xml:space="preserve">GAP-ART — artwork and mock-up approval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Regulatory/Quality document control owns a versioned artwork master (Workflow MOD-0023 + Evidence MOD-0029); MOD-0197 orders reference the approved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GMP-aligned change control; reusable across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 regulatory/quality owner outside SCM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MOD-0197 Co-Manufacturer owns artwork/mock-up approval per order (as in the 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today’s working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 tied to orders, weak 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module (artwork management) via DCP-002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lifecycle incl. printer/manufacturer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ID and pack</w:t>
            </w:r>
          </w:p>
        </w:tc>
      </w:tr>
    </w:tbl>
    <w:p>
      <w:pPr>
        <w:pStyle w:val="BodyText"/>
      </w:pPr>
      <w:r>
        <w:t xml:space="preserve">Related consumed data: registration status (AO-11) and DataMatrix/serialization (AO-10) — owners outside SCM; recorded as dependencies only.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2026-09-26T12:03:29Z</dcterms:created>
  <dcterms:modified xsi:type="dcterms:W3CDTF">2026-09-26T12:03:29Z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