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e498c666054388ad42ef107b0f0c49feed0ec3"/>
    <w:p>
      <w:pPr>
        <w:pStyle w:val="Heading1"/>
      </w:pPr>
      <w:r>
        <w:t xml:space="preserve">SCM planlama analizi — gereksinim paketi (Q74, SCM-PLANNING-ANALYSIS-01)</w:t>
      </w:r>
    </w:p>
    <w:p>
      <w:pPr>
        <w:pStyle w:val="FirstParagraph"/>
      </w:pPr>
      <w:r>
        <w:t xml:space="preserve">🤖 Applying knowledge of</w:t>
      </w:r>
      <w:r>
        <w:t xml:space="preserve"> </w:t>
      </w:r>
      <w:r>
        <w:t xml:space="preserve">@business-analyst</w:t>
      </w:r>
      <w:r>
        <w:t xml:space="preserve"> </w:t>
      </w:r>
      <w:r>
        <w:t xml:space="preserve">+</w:t>
      </w:r>
      <w:r>
        <w:t xml:space="preserve"> </w:t>
      </w:r>
      <w:r>
        <w:t xml:space="preserve">@product-manager</w:t>
      </w:r>
      <w:r>
        <w:t xml:space="preserve">. Lane AL-SCM-ANALYSIS-01 (INS). Başlangıç 2026-09-26T14:57:26+03:00.</w:t>
      </w:r>
      <w:r>
        <w:t xml:space="preserve"> </w:t>
      </w:r>
      <w:r>
        <w:t xml:space="preserve">Repo</w:t>
      </w:r>
      <w:r>
        <w:t xml:space="preserve"> </w:t>
      </w:r>
      <w:r>
        <w:rPr>
          <w:rStyle w:val="VerbatimChar"/>
        </w:rPr>
        <w:t xml:space="preserve">feature/mvp6-logistics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4a8d4d4b</w:t>
      </w:r>
      <w:r>
        <w:t xml:space="preserve"> </w:t>
      </w:r>
      <w:r>
        <w:t xml:space="preserve">(yalnız okuma). MVP6 geliştirmesinden ayrı bir analizdir; hiçbir pack, DCP, registry, sözleşme, kod veya MVP6 planı değiştirilmedi; modül ID’si açılmadı; hiçbir şey onaylanmadı.</w:t>
      </w:r>
    </w:p>
    <w:bookmarkStart w:id="20" w:name="yönetici-özeti"/>
    <w:p>
      <w:pPr>
        <w:pStyle w:val="Heading2"/>
      </w:pPr>
      <w:r>
        <w:t xml:space="preserve">Yönetici özeti</w:t>
      </w:r>
    </w:p>
    <w:p>
      <w:pPr>
        <w:pStyle w:val="FirstParagraph"/>
      </w:pPr>
      <w:r>
        <w:t xml:space="preserve">İki iç analiz (S&amp;OP hesap kuralları ve Otomatik Sipariş ekranı) resmi, gözden geçirilebilir bir gereksinim paketine dönüştürüldü. Dosyalar</w:t>
      </w:r>
      <w:r>
        <w:t xml:space="preserve"> </w:t>
      </w:r>
      <w:r>
        <w:rPr>
          <w:bCs/>
          <w:b/>
        </w:rPr>
        <w:t xml:space="preserve">kod için değil, gereksinim girdisi olarak</w:t>
      </w:r>
      <w:r>
        <w:t xml:space="preserve"> </w:t>
      </w:r>
      <w:r>
        <w:t xml:space="preserve">kullanılabilir. MVP6 bu hesapların hiçbirini içermiyor: MOD-0190 yalnız S&amp;OP imza akışını, MOD-0192 yalnız kapasite senaryolarını kapsıyor. Hesapların doğal sahipleri MOD-0188 (talep), 0189 (MRP/ikmal), 0191 (emniyet stoğu), 0173/0174/0176 (stok, parti, FEFO), 0194/0195/0197 (iş emri, parti/eBR, fason üretici) ve 0148 (portal).</w:t>
      </w:r>
    </w:p>
    <w:p>
      <w:pPr>
        <w:pStyle w:val="BodyText"/>
      </w:pPr>
      <w:r>
        <w:t xml:space="preserve">İki alan hiçbir modülde yok:</w:t>
      </w:r>
      <w:r>
        <w:t xml:space="preserve"> </w:t>
      </w:r>
      <w:r>
        <w:rPr>
          <w:bCs/>
          <w:b/>
        </w:rPr>
        <w:t xml:space="preserve">(1) distribütör kanal stoğu</w:t>
      </w:r>
      <w:r>
        <w:t xml:space="preserve"> </w:t>
      </w:r>
      <w:r>
        <w:t xml:space="preserve">(sell-in, GIT faturaları, iade/credit note, toptancı stoğu, sell-out) ve</w:t>
      </w:r>
      <w:r>
        <w:t xml:space="preserve"> </w:t>
      </w:r>
      <w:r>
        <w:rPr>
          <w:bCs/>
          <w:b/>
        </w:rPr>
        <w:t xml:space="preserve">(2) artwork / mock-up onayı</w:t>
      </w:r>
      <w:r>
        <w:t xml:space="preserve">. Sahiplik için yalnız seçenekler verildi (MODULE-MAPPING.md).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inputs/SOPCalculation.xlsx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inputs/Automatic_Order_v1_2.xlsx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Bayt-bayt kopyalar (sha256 aşağıda)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RULES.tsv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kural: 28 S&amp;OP satırı + 32 Otomatik Sipariş kuralı; hedef modül ve güven düzeyi 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WORKED-EXAMPLE.md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Calculation</w:t>
            </w:r>
            <w:r>
              <w:t xml:space="preserve">”</w:t>
            </w:r>
            <w:r>
              <w:t xml:space="preserve"> </w:t>
            </w:r>
            <w:r>
              <w:t xml:space="preserve">sayfasının adım adım yeniden hesabı ve bir S&amp;OP zinciri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BEST-PRACTICE-GAPS.md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konu, uluslararası uygulama, boşluk, seçenekler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OPEN-QUESTIONS.tsv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açık soru (hücre, soru, neden önemli, cevap seçenekleri)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MODULE-MAPPING.md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Modül bazında gruplama, MVP6 kapsamı, iki GAP alanı için sahiplik seçenekleri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docx/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README, BEST-PRACTICE-GAPS, MODULE-MAPPING ve OPEN-QUESTIONS’ın Word kopyaları</w:t>
            </w:r>
          </w:p>
        </w:tc>
      </w:tr>
    </w:tbl>
    <w:bookmarkEnd w:id="20"/>
    <w:bookmarkStart w:id="21" w:name="sayım-mutabakatı"/>
    <w:p>
      <w:pPr>
        <w:pStyle w:val="Heading2"/>
      </w:pPr>
      <w:r>
        <w:t xml:space="preserve">Sayım mutabakatı</w:t>
      </w:r>
    </w:p>
    <w:p>
      <w:pPr>
        <w:numPr>
          <w:ilvl w:val="0"/>
          <w:numId w:val="1001"/>
        </w:numPr>
        <w:pStyle w:val="Compact"/>
      </w:pPr>
      <w:r>
        <w:t xml:space="preserve">S&amp;OP:</w:t>
      </w:r>
      <w:r>
        <w:t xml:space="preserve"> </w:t>
      </w:r>
      <w:r>
        <w:rPr>
          <w:rStyle w:val="VerbatimChar"/>
        </w:rPr>
        <w:t xml:space="preserve">Sheet1</w:t>
      </w:r>
      <w:r>
        <w:t xml:space="preserve"> </w:t>
      </w:r>
      <w:r>
        <w:t xml:space="preserve">satır 2–29 =</w:t>
      </w:r>
      <w:r>
        <w:t xml:space="preserve"> </w:t>
      </w:r>
      <w:r>
        <w:rPr>
          <w:bCs/>
          <w:b/>
        </w:rPr>
        <w:t xml:space="preserve">28 satır</w:t>
      </w:r>
      <w:r>
        <w:t xml:space="preserve"> </w:t>
      </w:r>
      <w:r>
        <w:t xml:space="preserve">(id 15–41 ve 43; id 42 yok) → RULES.tsv’de SOP-15…SOP-43,</w:t>
      </w:r>
      <w:r>
        <w:t xml:space="preserve"> </w:t>
      </w:r>
      <w:r>
        <w:rPr>
          <w:bCs/>
          <w:b/>
        </w:rPr>
        <w:t xml:space="preserve">28/28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Otomatik Sipariş:</w:t>
      </w:r>
      <w:r>
        <w:t xml:space="preserve"> </w:t>
      </w:r>
      <w:r>
        <w:rPr>
          <w:iCs/>
          <w:i/>
        </w:rPr>
        <w:t xml:space="preserve">Calculation</w:t>
      </w:r>
      <w:r>
        <w:t xml:space="preserve"> </w:t>
      </w:r>
      <w:r>
        <w:t xml:space="preserve">(formül, süre bileşenleri, lot, örnek zamanlama, etiketsiz seri) 6 kural;</w:t>
      </w:r>
      <w:r>
        <w:t xml:space="preserve"> </w:t>
      </w:r>
      <w:r>
        <w:rPr>
          <w:iCs/>
          <w:i/>
        </w:rPr>
        <w:t xml:space="preserve">Order rows</w:t>
      </w:r>
      <w:r>
        <w:t xml:space="preserve"> </w:t>
      </w:r>
      <w:r>
        <w:t xml:space="preserve">(filtre, sütun tipleri, statüler, renkler, aksiyonlar, yetkiler, roller, yorumlar) 25 kural;</w:t>
      </w:r>
      <w:r>
        <w:t xml:space="preserve"> </w:t>
      </w:r>
      <w:r>
        <w:rPr>
          <w:iCs/>
          <w:i/>
        </w:rPr>
        <w:t xml:space="preserve">Prototype</w:t>
      </w:r>
      <w:r>
        <w:t xml:space="preserve"> </w:t>
      </w:r>
      <w:r>
        <w:t xml:space="preserve">1 kural;</w:t>
      </w:r>
      <w:r>
        <w:t xml:space="preserve"> </w:t>
      </w:r>
      <w:r>
        <w:rPr>
          <w:iCs/>
          <w:i/>
        </w:rPr>
        <w:t xml:space="preserve">Order list</w:t>
      </w:r>
      <w:r>
        <w:t xml:space="preserve"> </w:t>
      </w:r>
      <w:r>
        <w:t xml:space="preserve">boş (0) → birleştirilmiş</w:t>
      </w:r>
      <w:r>
        <w:t xml:space="preserve"> </w:t>
      </w:r>
      <w:r>
        <w:rPr>
          <w:bCs/>
          <w:b/>
        </w:rPr>
        <w:t xml:space="preserve">32 kural</w:t>
      </w:r>
      <w:r>
        <w:t xml:space="preserve"> </w:t>
      </w:r>
      <w:r>
        <w:t xml:space="preserve">(AO-01…AO-32; birden çok sayfada geçen kural tek satırda, kaynak hücreleriyle).</w:t>
      </w:r>
    </w:p>
    <w:p>
      <w:pPr>
        <w:numPr>
          <w:ilvl w:val="0"/>
          <w:numId w:val="1001"/>
        </w:numPr>
        <w:pStyle w:val="Compact"/>
      </w:pPr>
      <w:r>
        <w:t xml:space="preserve">Toplam</w:t>
      </w:r>
      <w:r>
        <w:t xml:space="preserve"> </w:t>
      </w:r>
      <w:r>
        <w:rPr>
          <w:bCs/>
          <w:b/>
        </w:rPr>
        <w:t xml:space="preserve">60 kural</w:t>
      </w:r>
      <w:r>
        <w:t xml:space="preserve">,</w:t>
      </w:r>
      <w:r>
        <w:t xml:space="preserve"> </w:t>
      </w:r>
      <w:r>
        <w:rPr>
          <w:bCs/>
          <w:b/>
        </w:rPr>
        <w:t xml:space="preserve">11 boşluk</w:t>
      </w:r>
      <w:r>
        <w:t xml:space="preserve">,</w:t>
      </w:r>
      <w:r>
        <w:t xml:space="preserve"> </w:t>
      </w:r>
      <w:r>
        <w:rPr>
          <w:bCs/>
          <w:b/>
        </w:rPr>
        <w:t xml:space="preserve">40 açık soru</w:t>
      </w:r>
      <w:r>
        <w:t xml:space="preserve">.</w:t>
      </w:r>
    </w:p>
    <w:bookmarkEnd w:id="21"/>
    <w:bookmarkStart w:id="22" w:name="girdi-hashleri"/>
    <w:p>
      <w:pPr>
        <w:pStyle w:val="Heading2"/>
      </w:pPr>
      <w:r>
        <w:t xml:space="preserve">Girdi hash’leri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inputs/SOPCalculation.xlsx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ac94906f10cdcd10218ea27c24062eb178b1806387c7df8f06c5008c0cf98776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inputs/Automatic_Order_v1_2.xlsx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d338e63dc413e0f2ba0415adb3eb65039c1cdc38ce2327b5c1dac19f66069f32</w:t>
            </w:r>
          </w:p>
        </w:tc>
      </w:tr>
    </w:tbl>
    <w:bookmarkEnd w:id="22"/>
    <w:bookmarkStart w:id="23" w:name="ilk-5-öneri"/>
    <w:p>
      <w:pPr>
        <w:pStyle w:val="Heading2"/>
      </w:pPr>
      <w:r>
        <w:t xml:space="preserve">İlk 5 öneri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Emniyet stoğu:</w:t>
      </w:r>
      <w:r>
        <w:t xml:space="preserve"> </w:t>
      </w:r>
      <w:r>
        <w:t xml:space="preserve">mevcut formülü geçiş kuralı olarak tut, geçmiş veri oluştukça servis seviyesine dayalı istatistiksel formüle geç (MOD-0191; G1).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Tahmin yuvarlama ve zaman çitleri:</w:t>
      </w:r>
      <w:r>
        <w:t xml:space="preserve"> </w:t>
      </w:r>
      <w:r>
        <w:t xml:space="preserve">gönderilmeyen tahminin otomatik devrini durdur; teslim süresi içinde dondurulmuş bölge ve tahmin tüketimi kur (MOD-0189/0188; G3).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Lot ve raf ömrü:</w:t>
      </w:r>
      <w:r>
        <w:t xml:space="preserve"> </w:t>
      </w:r>
      <w:r>
        <w:t xml:space="preserve">minimum partiye ek olarak kat, azami lot ve kalan raf ömrü sınırı; FEFO ve pazar bazlı asgari raf ömrü (MOD-0189/0176; G4, G7).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Aylık S&amp;OP döngüsü:</w:t>
      </w:r>
      <w:r>
        <w:t xml:space="preserve"> </w:t>
      </w:r>
      <w:r>
        <w:t xml:space="preserve">MVP6’daki MOD-0190 anlık görüntü + imza akışını her ay kullan; talep/arz girdileri 0188/0189’dan (G6).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Kalite ve izlenebilirlik:</w:t>
      </w:r>
      <w:r>
        <w:t xml:space="preserve"> </w:t>
      </w:r>
      <w:r>
        <w:t xml:space="preserve">parti serbest bırakmayı yetkili kalite rolüne ve stok statüsüne bağla; DataMatrix’i PDF yerine GTIN/seri/parti/SKT verisi olarak tut (MOD-0195/0175/0174; G9, G10).</w:t>
      </w:r>
    </w:p>
    <w:bookmarkEnd w:id="23"/>
    <w:bookmarkStart w:id="24" w:name="varsayimlar"/>
    <w:p>
      <w:pPr>
        <w:pStyle w:val="Heading2"/>
      </w:pPr>
      <w:r>
        <w:t xml:space="preserve">VARSAYIMLAR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A1</w:t>
      </w:r>
      <w:r>
        <w:t xml:space="preserve"> </w:t>
      </w:r>
      <w:r>
        <w:t xml:space="preserve">RULES.tsv’deki İngilizce özetler Excel ipuçlarından (tooltip) ve Türkçe notlardan çıkarıldı; ikisi çelişirse ikisi de yazıldı ve açık soru açıldı.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A2</w:t>
      </w:r>
      <w:r>
        <w:t xml:space="preserve"> </w:t>
      </w:r>
      <w:r>
        <w:t xml:space="preserve">Hedef modül eşlemesi registry ve domain-config’teki modül tanımlarına göre yapıldı; karar değildir.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A3</w:t>
      </w:r>
      <w:r>
        <w:t xml:space="preserve"> </w:t>
      </w:r>
      <w:r>
        <w:t xml:space="preserve">Otomatik Sipariş’te aynı kural birden çok sayfada geçiyorsa tek kural sayıldı (sayım yöntemi yukarıda).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A4</w:t>
      </w:r>
      <w:r>
        <w:t xml:space="preserve"> </w:t>
      </w:r>
      <w:r>
        <w:t xml:space="preserve">WORKED-EXAMPLE §2’deki sayılar örnektir; dosyalardan gelmez.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A5</w:t>
      </w:r>
      <w:r>
        <w:t xml:space="preserve"> </w:t>
      </w:r>
      <w:r>
        <w:t xml:space="preserve">Uluslararası uygulamalar genel yöntem olarak anlatıldı; belge alıntısı yapılmadı.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A6</w:t>
      </w:r>
      <w:r>
        <w:t xml:space="preserve"> </w:t>
      </w:r>
      <w:r>
        <w:t xml:space="preserve">Registry’de MOD-0147/0148 satırları bu lane’in aramasında bulunamadı; MOD-0148 kapsamı pack dosyasından okundu.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A7</w:t>
      </w:r>
      <w:r>
        <w:t xml:space="preserve"> </w:t>
      </w:r>
      <w:r>
        <w:t xml:space="preserve">Word dönüşümü pandoc ile, VM yerine bulut çalışma alanında yapıldı (VM’de pandoc gerekmedi); sonuç klasöre kopyalandı.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A8</w:t>
      </w:r>
      <w:r>
        <w:t xml:space="preserve"> </w:t>
      </w:r>
      <w:r>
        <w:t xml:space="preserve">Klasördeki zip dosyası SHA256SUMS’ın dışında bırakıldı (kendi içeriğini kapsadığı için).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2026-09-26T12:03:35Z</dcterms:created>
  <dcterms:modified xsi:type="dcterms:W3CDTF">2026-09-26T12:03:35Z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