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2"/>
        <w:jc w:val="center"/>
      </w:pPr>
      <w:r>
        <w:t>Customer Engagement &amp; Retention Strategy — European Bank</w:t>
      </w:r>
    </w:p>
    <w:p>
      <w:pPr>
        <w:jc w:val="center"/>
      </w:pPr>
      <w:r>
        <w:t>Prepared by: Vyshnavi Bestha | Unified Mentor | 2026</w:t>
      </w:r>
    </w:p>
    <w:p>
      <w:r>
        <w:t>────────────────────────────────────────────────────────────</w:t>
      </w:r>
    </w:p>
    <w:p>
      <w:pPr>
        <w:pStyle w:val="Heading1"/>
      </w:pPr>
      <w:r>
        <w:t>Business Overview</w:t>
      </w:r>
    </w:p>
    <w:p>
      <w:r>
        <w:t>A European bank with customers across France, Spain, and Germany sought to understand why customers churn despite strong financial profiles. This project analyzed 10,000 customer records to identify behavioral drivers of churn and build a predictive retention system.</w:t>
      </w:r>
    </w:p>
    <w:p>
      <w:pPr>
        <w:pStyle w:val="Heading1"/>
      </w:pPr>
      <w:r>
        <w:t>Key Numbers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Customers</w:t>
            </w:r>
          </w:p>
        </w:tc>
        <w:tc>
          <w:tcPr>
            <w:tcW w:type="dxa" w:w="4320"/>
          </w:tcPr>
          <w:p>
            <w:r>
              <w:t>10,000</w:t>
            </w:r>
          </w:p>
        </w:tc>
      </w:tr>
      <w:tr>
        <w:tc>
          <w:tcPr>
            <w:tcW w:type="dxa" w:w="4320"/>
          </w:tcPr>
          <w:p>
            <w:r>
              <w:t>Churn Rate</w:t>
            </w:r>
          </w:p>
        </w:tc>
        <w:tc>
          <w:tcPr>
            <w:tcW w:type="dxa" w:w="4320"/>
          </w:tcPr>
          <w:p>
            <w:r>
              <w:t>20.4%</w:t>
            </w:r>
          </w:p>
        </w:tc>
      </w:tr>
      <w:tr>
        <w:tc>
          <w:tcPr>
            <w:tcW w:type="dxa" w:w="4320"/>
          </w:tcPr>
          <w:p>
            <w:r>
              <w:t>Highest Churn Country</w:t>
            </w:r>
          </w:p>
        </w:tc>
        <w:tc>
          <w:tcPr>
            <w:tcW w:type="dxa" w:w="4320"/>
          </w:tcPr>
          <w:p>
            <w:r>
              <w:t>Germany (32.4%)</w:t>
            </w:r>
          </w:p>
        </w:tc>
      </w:tr>
      <w:tr>
        <w:tc>
          <w:tcPr>
            <w:tcW w:type="dxa" w:w="4320"/>
          </w:tcPr>
          <w:p>
            <w:r>
              <w:t>High-Value At-Risk</w:t>
            </w:r>
          </w:p>
        </w:tc>
        <w:tc>
          <w:tcPr>
            <w:tcW w:type="dxa" w:w="4320"/>
          </w:tcPr>
          <w:p>
            <w:r>
              <w:t>1,302 customers</w:t>
            </w:r>
          </w:p>
        </w:tc>
      </w:tr>
      <w:tr>
        <w:tc>
          <w:tcPr>
            <w:tcW w:type="dxa" w:w="4320"/>
          </w:tcPr>
          <w:p>
            <w:r>
              <w:t>ML Model Accuracy</w:t>
            </w:r>
          </w:p>
        </w:tc>
        <w:tc>
          <w:tcPr>
            <w:tcW w:type="dxa" w:w="4320"/>
          </w:tcPr>
          <w:p>
            <w:r>
              <w:t>86.45%</w:t>
            </w:r>
          </w:p>
        </w:tc>
      </w:tr>
      <w:tr>
        <w:tc>
          <w:tcPr>
            <w:tcW w:type="dxa" w:w="4320"/>
          </w:tcPr>
          <w:p>
            <w:r>
              <w:t>Best Model</w:t>
            </w:r>
          </w:p>
        </w:tc>
        <w:tc>
          <w:tcPr>
            <w:tcW w:type="dxa" w:w="4320"/>
          </w:tcPr>
          <w:p>
            <w:r>
              <w:t>Random Forest</w:t>
            </w:r>
          </w:p>
        </w:tc>
      </w:tr>
      <w:tr>
        <w:tc>
          <w:tcPr>
            <w:tcW w:type="dxa" w:w="4320"/>
          </w:tcPr>
          <w:p>
            <w:r>
              <w:t>Top Churn Driver</w:t>
            </w:r>
          </w:p>
        </w:tc>
        <w:tc>
          <w:tcPr>
            <w:tcW w:type="dxa" w:w="4320"/>
          </w:tcPr>
          <w:p>
            <w:r>
              <w:t>Inactive membership</w:t>
            </w:r>
          </w:p>
        </w:tc>
      </w:tr>
    </w:tbl>
    <w:p>
      <w:pPr>
        <w:pStyle w:val="Heading1"/>
      </w:pPr>
      <w:r>
        <w:t>Key Findings</w:t>
      </w:r>
    </w:p>
    <w:p>
      <w:r>
        <w:t>1. 20.4% churn rate — 1 in 5 customers leaving</w:t>
        <w:br/>
        <w:t>2. Germany highest churn at 32.4%</w:t>
        <w:br/>
        <w:t>3. Inactive members churn 26.9% vs active 14.3%</w:t>
        <w:br/>
        <w:t>4. 1,302 high-balance customers disengaged and at risk</w:t>
        <w:br/>
        <w:t>5. Single-product customers show highest churn risk</w:t>
      </w:r>
    </w:p>
    <w:p>
      <w:pPr>
        <w:pStyle w:val="Heading1"/>
      </w:pPr>
      <w:r>
        <w:t>Recommendations</w:t>
      </w:r>
    </w:p>
    <w:p>
      <w:r>
        <w:t>1. IMMEDIATE: Contact 1,302 high-value inactive customers</w:t>
        <w:br/>
        <w:t>2. GEOGRAPHIC: Germany-specific retention campaigns</w:t>
        <w:br/>
        <w:t>3. PRODUCT: Push single-product customers to 2nd product</w:t>
        <w:br/>
        <w:t>4. TECHNOLOGY: Deploy ML churn predictor monthly</w:t>
        <w:br/>
        <w:t>5. LOYALTY: Active member rewards program</w:t>
      </w:r>
    </w:p>
    <w:p>
      <w:r>
        <w:t>────────────────────────────────────────────────────────────</w:t>
      </w:r>
    </w:p>
    <w:p>
      <w:pPr>
        <w:jc w:val="center"/>
      </w:pPr>
      <w:r>
        <w:t>Vyshnavi Bestha | B.Tech CSE (AI/ML) | Unified Mentor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