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e2e17ae02a380253d24888d7064cb726d9ba31"/>
    <w:p>
      <w:pPr>
        <w:pStyle w:val="Heading1"/>
      </w:pPr>
      <w:r>
        <w:t xml:space="preserve">Cloud City Platform - Visualization Specification Document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how the Cloud City visualization should look, behave, and communicate infrastructure and cost data. It serves as a design and implementation guide for frontend and product teams.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sualization-philosophy"/>
    <w:p>
      <w:pPr>
        <w:pStyle w:val="Heading1"/>
      </w:pPr>
      <w:r>
        <w:t xml:space="preserve">2. Visualization Philosophy</w:t>
      </w:r>
    </w:p>
    <w:p>
      <w:pPr>
        <w:pStyle w:val="FirstParagraph"/>
      </w:pPr>
      <w:r>
        <w:t xml:space="preserve">The visualization must be:</w:t>
      </w:r>
      <w:r>
        <w:t xml:space="preserve"> </w:t>
      </w:r>
      <w:r>
        <w:t xml:space="preserve">- Deterministic (same infrastructure = same layout)</w:t>
      </w:r>
      <w:r>
        <w:t xml:space="preserve"> </w:t>
      </w:r>
      <w:r>
        <w:t xml:space="preserve">- Intuitive (non-technical stakeholders can understand it)</w:t>
      </w:r>
      <w:r>
        <w:t xml:space="preserve"> </w:t>
      </w:r>
      <w:r>
        <w:t xml:space="preserve">- Scalable (handles thousands of resources)</w:t>
      </w:r>
      <w:r>
        <w:t xml:space="preserve"> </w:t>
      </w:r>
      <w:r>
        <w:t xml:space="preserve">- Aggregated (no visual noise)</w:t>
      </w:r>
      <w:r>
        <w:t xml:space="preserve"> </w:t>
      </w:r>
      <w:r>
        <w:t xml:space="preserve">- Cost-aware by design</w:t>
      </w:r>
    </w:p>
    <w:p>
      <w:pPr>
        <w:pStyle w:val="BodyText"/>
      </w:pPr>
      <w:r>
        <w:t xml:space="preserve">The visual metaphor is a</w:t>
      </w:r>
      <w:r>
        <w:t xml:space="preserve"> </w:t>
      </w:r>
      <w:r>
        <w:rPr>
          <w:b/>
          <w:bCs/>
        </w:rPr>
        <w:t xml:space="preserve">modern city skyline viewed from a bird’s-eye perspective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spatial-hierarchy"/>
    <w:p>
      <w:pPr>
        <w:pStyle w:val="Heading1"/>
      </w:pPr>
      <w:r>
        <w:t xml:space="preserve">3. Spatial Hierarchy</w:t>
      </w:r>
    </w:p>
    <w:p>
      <w:pPr>
        <w:pStyle w:val="FirstParagraph"/>
      </w:pPr>
      <w:r>
        <w:t xml:space="preserve">The 3D world is structured hierarchically:</w:t>
      </w:r>
    </w:p>
    <w:p>
      <w:pPr>
        <w:pStyle w:val="BodyText"/>
      </w:pPr>
      <w:r>
        <w:t xml:space="preserve">World</w:t>
      </w:r>
      <w:r>
        <w:t xml:space="preserve"> </w:t>
      </w:r>
      <w:r>
        <w:t xml:space="preserve">└── Cloud Provider Plane (AWS / Azure / GCP)</w:t>
      </w:r>
      <w:r>
        <w:t xml:space="preserve"> </w:t>
      </w:r>
      <w:r>
        <w:t xml:space="preserve">└── Region (City)</w:t>
      </w:r>
      <w:r>
        <w:t xml:space="preserve"> </w:t>
      </w:r>
      <w:r>
        <w:t xml:space="preserve">└── VPC / VNet (District)</w:t>
      </w:r>
      <w:r>
        <w:t xml:space="preserve"> </w:t>
      </w:r>
      <w:r>
        <w:t xml:space="preserve">└── Service Zone (Block)</w:t>
      </w:r>
      <w:r>
        <w:t xml:space="preserve"> </w:t>
      </w:r>
      <w:r>
        <w:t xml:space="preserve">└── Building (Aggregated Resource Group)</w:t>
      </w:r>
    </w:p>
    <w:p>
      <w:pPr>
        <w:pStyle w:val="BodyText"/>
      </w:pPr>
      <w:r>
        <w:t xml:space="preserve">Each layer owns a clear visual boundary.</w:t>
      </w:r>
    </w:p>
    <w:p>
      <w:r>
        <w:pict>
          <v:rect style="width:0;height:1.5pt" o:hralign="center" o:hrstd="t" o:hr="t"/>
        </w:pict>
      </w:r>
    </w:p>
    <w:bookmarkEnd w:id="23"/>
    <w:bookmarkStart w:id="24" w:name="camera-perspective"/>
    <w:p>
      <w:pPr>
        <w:pStyle w:val="Heading1"/>
      </w:pPr>
      <w:r>
        <w:t xml:space="preserve">4. Camera &amp; Perspective</w:t>
      </w:r>
    </w:p>
    <w:p>
      <w:pPr>
        <w:pStyle w:val="Compact"/>
        <w:numPr>
          <w:ilvl w:val="0"/>
          <w:numId w:val="1001"/>
        </w:numPr>
      </w:pPr>
      <w:r>
        <w:t xml:space="preserve">Default view: Bird’s-eye angle (45–60 degrees tilt)</w:t>
      </w:r>
    </w:p>
    <w:p>
      <w:pPr>
        <w:pStyle w:val="Compact"/>
        <w:numPr>
          <w:ilvl w:val="0"/>
          <w:numId w:val="1001"/>
        </w:numPr>
      </w:pPr>
      <w:r>
        <w:t xml:space="preserve">Camera type: Perspective (slight depth) or Orthographic for clean scaling</w:t>
      </w:r>
    </w:p>
    <w:p>
      <w:pPr>
        <w:pStyle w:val="Compact"/>
        <w:numPr>
          <w:ilvl w:val="0"/>
          <w:numId w:val="1001"/>
        </w:numPr>
      </w:pPr>
      <w:r>
        <w:t xml:space="preserve">Smooth zoom with semantic transitions</w:t>
      </w:r>
    </w:p>
    <w:p>
      <w:pPr>
        <w:pStyle w:val="Compact"/>
        <w:numPr>
          <w:ilvl w:val="0"/>
          <w:numId w:val="1001"/>
        </w:numPr>
      </w:pPr>
      <w:r>
        <w:t xml:space="preserve">Pan enabled</w:t>
      </w:r>
    </w:p>
    <w:p>
      <w:pPr>
        <w:pStyle w:val="Compact"/>
        <w:numPr>
          <w:ilvl w:val="0"/>
          <w:numId w:val="1001"/>
        </w:numPr>
      </w:pPr>
      <w:r>
        <w:t xml:space="preserve">Rotation limited to prevent user disorientation</w:t>
      </w:r>
    </w:p>
    <w:p>
      <w:pPr>
        <w:pStyle w:val="FirstParagraph"/>
      </w:pPr>
      <w:r>
        <w:t xml:space="preserve">Zoom levels:</w:t>
      </w:r>
      <w:r>
        <w:t xml:space="preserve"> </w:t>
      </w:r>
      <w:r>
        <w:t xml:space="preserve">- Far: City silhouettes only</w:t>
      </w:r>
      <w:r>
        <w:t xml:space="preserve"> </w:t>
      </w:r>
      <w:r>
        <w:t xml:space="preserve">- Medium: District shapes visible</w:t>
      </w:r>
      <w:r>
        <w:t xml:space="preserve"> </w:t>
      </w:r>
      <w:r>
        <w:t xml:space="preserve">- Near: Individual buildings with labels</w:t>
      </w:r>
      <w:r>
        <w:t xml:space="preserve"> </w:t>
      </w:r>
      <w:r>
        <w:t xml:space="preserve">- Focus: Detailed side panel opens</w:t>
      </w:r>
    </w:p>
    <w:p>
      <w:r>
        <w:pict>
          <v:rect style="width:0;height:1.5pt" o:hralign="center" o:hrstd="t" o:hr="t"/>
        </w:pict>
      </w:r>
    </w:p>
    <w:bookmarkEnd w:id="24"/>
    <w:bookmarkStart w:id="29" w:name="city-layout-rules"/>
    <w:p>
      <w:pPr>
        <w:pStyle w:val="Heading1"/>
      </w:pPr>
      <w:r>
        <w:t xml:space="preserve">5. City Layout Rules</w:t>
      </w:r>
    </w:p>
    <w:bookmarkStart w:id="25" w:name="provider-separation"/>
    <w:p>
      <w:pPr>
        <w:pStyle w:val="Heading2"/>
      </w:pPr>
      <w:r>
        <w:t xml:space="preserve">5.1 Provider Separation</w:t>
      </w:r>
    </w:p>
    <w:p>
      <w:pPr>
        <w:pStyle w:val="Compact"/>
        <w:numPr>
          <w:ilvl w:val="0"/>
          <w:numId w:val="1002"/>
        </w:numPr>
      </w:pPr>
      <w:r>
        <w:t xml:space="preserve">Each cloud provider appears on a separate plane or island.</w:t>
      </w:r>
    </w:p>
    <w:p>
      <w:pPr>
        <w:pStyle w:val="Compact"/>
        <w:numPr>
          <w:ilvl w:val="0"/>
          <w:numId w:val="1002"/>
        </w:numPr>
      </w:pPr>
      <w:r>
        <w:t xml:space="preserve">Subtle color tint differentiates providers.</w:t>
      </w:r>
    </w:p>
    <w:bookmarkEnd w:id="25"/>
    <w:bookmarkStart w:id="26" w:name="region-as-city"/>
    <w:p>
      <w:pPr>
        <w:pStyle w:val="Heading2"/>
      </w:pPr>
      <w:r>
        <w:t xml:space="preserve">5.2 Region as City</w:t>
      </w:r>
    </w:p>
    <w:p>
      <w:pPr>
        <w:pStyle w:val="Compact"/>
        <w:numPr>
          <w:ilvl w:val="0"/>
          <w:numId w:val="1003"/>
        </w:numPr>
      </w:pPr>
      <w:r>
        <w:t xml:space="preserve">Each region is rendered as a city block area.</w:t>
      </w:r>
    </w:p>
    <w:p>
      <w:pPr>
        <w:pStyle w:val="Compact"/>
        <w:numPr>
          <w:ilvl w:val="0"/>
          <w:numId w:val="1003"/>
        </w:numPr>
      </w:pPr>
      <w:r>
        <w:t xml:space="preserve">Size scales with total aggregated resources.</w:t>
      </w:r>
    </w:p>
    <w:bookmarkEnd w:id="26"/>
    <w:bookmarkStart w:id="27" w:name="district-vpcvnet"/>
    <w:p>
      <w:pPr>
        <w:pStyle w:val="Heading2"/>
      </w:pPr>
      <w:r>
        <w:t xml:space="preserve">5.3 District (VPC/VNet)</w:t>
      </w:r>
    </w:p>
    <w:p>
      <w:pPr>
        <w:pStyle w:val="Compact"/>
        <w:numPr>
          <w:ilvl w:val="0"/>
          <w:numId w:val="1004"/>
        </w:numPr>
      </w:pPr>
      <w:r>
        <w:t xml:space="preserve">Rectangular boundaries.</w:t>
      </w:r>
    </w:p>
    <w:p>
      <w:pPr>
        <w:pStyle w:val="Compact"/>
        <w:numPr>
          <w:ilvl w:val="0"/>
          <w:numId w:val="1004"/>
        </w:numPr>
      </w:pPr>
      <w:r>
        <w:t xml:space="preserve">Perimeter roads.</w:t>
      </w:r>
    </w:p>
    <w:p>
      <w:pPr>
        <w:pStyle w:val="Compact"/>
        <w:numPr>
          <w:ilvl w:val="0"/>
          <w:numId w:val="1004"/>
        </w:numPr>
      </w:pPr>
      <w:r>
        <w:t xml:space="preserve">Clearly separated from other districts.</w:t>
      </w:r>
    </w:p>
    <w:bookmarkEnd w:id="27"/>
    <w:bookmarkStart w:id="28" w:name="service-zoning-fixed-layout"/>
    <w:p>
      <w:pPr>
        <w:pStyle w:val="Heading2"/>
      </w:pPr>
      <w:r>
        <w:t xml:space="preserve">5.4 Service Zoning (Fixed Layout)</w:t>
      </w:r>
    </w:p>
    <w:p>
      <w:pPr>
        <w:pStyle w:val="FirstParagraph"/>
      </w:pPr>
      <w:r>
        <w:t xml:space="preserve">Each district is subdivided into consistent zones:</w:t>
      </w:r>
      <w:r>
        <w:t xml:space="preserve"> </w:t>
      </w:r>
      <w:r>
        <w:t xml:space="preserve">- Compute zone</w:t>
      </w:r>
      <w:r>
        <w:t xml:space="preserve"> </w:t>
      </w:r>
      <w:r>
        <w:t xml:space="preserve">- Database zone</w:t>
      </w:r>
      <w:r>
        <w:t xml:space="preserve"> </w:t>
      </w:r>
      <w:r>
        <w:t xml:space="preserve">- Storage zone</w:t>
      </w:r>
      <w:r>
        <w:t xml:space="preserve"> </w:t>
      </w:r>
      <w:r>
        <w:t xml:space="preserve">- Networking zone</w:t>
      </w:r>
      <w:r>
        <w:t xml:space="preserve"> </w:t>
      </w:r>
      <w:r>
        <w:t xml:space="preserve">- Security zone</w:t>
      </w:r>
    </w:p>
    <w:p>
      <w:pPr>
        <w:pStyle w:val="BodyText"/>
      </w:pPr>
      <w:r>
        <w:t xml:space="preserve">Zones always remain in fixed relative positions.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building-representation"/>
    <w:p>
      <w:pPr>
        <w:pStyle w:val="Heading1"/>
      </w:pPr>
      <w:r>
        <w:t xml:space="preserve">6. Building Representation</w:t>
      </w:r>
    </w:p>
    <w:bookmarkStart w:id="30" w:name="aggregation"/>
    <w:p>
      <w:pPr>
        <w:pStyle w:val="Heading2"/>
      </w:pPr>
      <w:r>
        <w:t xml:space="preserve">6.1 Aggregation</w:t>
      </w:r>
    </w:p>
    <w:p>
      <w:pPr>
        <w:pStyle w:val="FirstParagraph"/>
      </w:pPr>
      <w:r>
        <w:t xml:space="preserve">Individual resources are grouped by:</w:t>
      </w:r>
      <w:r>
        <w:t xml:space="preserve"> </w:t>
      </w:r>
      <w:r>
        <w:t xml:space="preserve">- Auto Scaling Group</w:t>
      </w:r>
      <w:r>
        <w:t xml:space="preserve"> </w:t>
      </w:r>
      <w:r>
        <w:t xml:space="preserve">- Service</w:t>
      </w:r>
      <w:r>
        <w:t xml:space="preserve"> </w:t>
      </w:r>
      <w:r>
        <w:t xml:space="preserve">- Role</w:t>
      </w:r>
      <w:r>
        <w:t xml:space="preserve"> </w:t>
      </w:r>
      <w:r>
        <w:t xml:space="preserve">- Module</w:t>
      </w:r>
    </w:p>
    <w:p>
      <w:pPr>
        <w:pStyle w:val="BodyText"/>
      </w:pPr>
      <w:r>
        <w:t xml:space="preserve">No single EC2/VM is rendered individually unless in drill-down mode.</w:t>
      </w:r>
    </w:p>
    <w:bookmarkEnd w:id="30"/>
    <w:bookmarkStart w:id="31" w:name="height-mapping"/>
    <w:p>
      <w:pPr>
        <w:pStyle w:val="Heading2"/>
      </w:pPr>
      <w:r>
        <w:t xml:space="preserve">6.2 Height Mapping</w:t>
      </w:r>
    </w:p>
    <w:p>
      <w:pPr>
        <w:pStyle w:val="FirstParagraph"/>
      </w:pPr>
      <w:r>
        <w:t xml:space="preserve">Building height represents:</w:t>
      </w:r>
      <w:r>
        <w:t xml:space="preserve"> </w:t>
      </w:r>
      <w:r>
        <w:t xml:space="preserve">- Instance count (logarithmic scaling)</w:t>
      </w:r>
      <w:r>
        <w:t xml:space="preserve"> </w:t>
      </w:r>
      <w:r>
        <w:t xml:space="preserve">OR</w:t>
      </w:r>
      <w:r>
        <w:t xml:space="preserve"> </w:t>
      </w:r>
      <w:r>
        <w:t xml:space="preserve">- Monthly cost (recommended primary metric)</w:t>
      </w:r>
    </w:p>
    <w:p>
      <w:pPr>
        <w:pStyle w:val="BodyText"/>
      </w:pPr>
      <w:r>
        <w:t xml:space="preserve">Example formula:</w:t>
      </w:r>
      <w:r>
        <w:t xml:space="preserve"> </w:t>
      </w:r>
      <w:r>
        <w:t xml:space="preserve">height = log10(monthly_cost + 1) * scale_factor</w:t>
      </w:r>
    </w:p>
    <w:bookmarkEnd w:id="31"/>
    <w:bookmarkStart w:id="32" w:name="footprint"/>
    <w:p>
      <w:pPr>
        <w:pStyle w:val="Heading2"/>
      </w:pPr>
      <w:r>
        <w:t xml:space="preserve">6.3 Footprint</w:t>
      </w:r>
    </w:p>
    <w:p>
      <w:pPr>
        <w:pStyle w:val="Compact"/>
        <w:numPr>
          <w:ilvl w:val="0"/>
          <w:numId w:val="1005"/>
        </w:numPr>
      </w:pPr>
      <w:r>
        <w:t xml:space="preserve">Uniform base width and depth</w:t>
      </w:r>
    </w:p>
    <w:p>
      <w:pPr>
        <w:pStyle w:val="Compact"/>
        <w:numPr>
          <w:ilvl w:val="0"/>
          <w:numId w:val="1005"/>
        </w:numPr>
      </w:pPr>
      <w:r>
        <w:t xml:space="preserve">Larger footprint allowed for special services (databases, load balancers)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st-visualization"/>
    <w:p>
      <w:pPr>
        <w:pStyle w:val="Heading1"/>
      </w:pPr>
      <w:r>
        <w:t xml:space="preserve">7. Cost Visualization</w:t>
      </w:r>
    </w:p>
    <w:p>
      <w:pPr>
        <w:pStyle w:val="FirstParagraph"/>
      </w:pPr>
      <w:r>
        <w:t xml:space="preserve">Cost is encoded using multiple visual channels:</w:t>
      </w:r>
    </w:p>
    <w:p>
      <w:pPr>
        <w:pStyle w:val="Compact"/>
        <w:numPr>
          <w:ilvl w:val="0"/>
          <w:numId w:val="1006"/>
        </w:numPr>
      </w:pPr>
      <w:r>
        <w:t xml:space="preserve">Height → Resource quantity or cost</w:t>
      </w:r>
    </w:p>
    <w:p>
      <w:pPr>
        <w:pStyle w:val="Compact"/>
        <w:numPr>
          <w:ilvl w:val="0"/>
          <w:numId w:val="1006"/>
        </w:numPr>
      </w:pPr>
      <w:r>
        <w:t xml:space="preserve">Color intensity → Monthly cost percentile</w:t>
      </w:r>
    </w:p>
    <w:p>
      <w:pPr>
        <w:pStyle w:val="Compact"/>
        <w:numPr>
          <w:ilvl w:val="0"/>
          <w:numId w:val="1006"/>
        </w:numPr>
      </w:pPr>
      <w:r>
        <w:t xml:space="preserve">Glow → Cost delta increase</w:t>
      </w:r>
    </w:p>
    <w:p>
      <w:pPr>
        <w:pStyle w:val="Compact"/>
        <w:numPr>
          <w:ilvl w:val="0"/>
          <w:numId w:val="1006"/>
        </w:numPr>
      </w:pPr>
      <w:r>
        <w:t xml:space="preserve">Blue glow → Cost decrease</w:t>
      </w:r>
    </w:p>
    <w:p>
      <w:pPr>
        <w:pStyle w:val="Compact"/>
        <w:numPr>
          <w:ilvl w:val="0"/>
          <w:numId w:val="1006"/>
        </w:numPr>
      </w:pPr>
      <w:r>
        <w:t xml:space="preserve">Pulsing red → Budget violation</w:t>
      </w:r>
    </w:p>
    <w:p>
      <w:pPr>
        <w:pStyle w:val="FirstParagraph"/>
      </w:pPr>
      <w:r>
        <w:t xml:space="preserve">Hover tooltip displays:</w:t>
      </w:r>
      <w:r>
        <w:t xml:space="preserve"> </w:t>
      </w:r>
      <w:r>
        <w:t xml:space="preserve">- Resource name</w:t>
      </w:r>
      <w:r>
        <w:t xml:space="preserve"> </w:t>
      </w:r>
      <w:r>
        <w:t xml:space="preserve">- Instance count</w:t>
      </w:r>
      <w:r>
        <w:t xml:space="preserve"> </w:t>
      </w:r>
      <w:r>
        <w:t xml:space="preserve">- Monthly cost</w:t>
      </w:r>
      <w:r>
        <w:t xml:space="preserve"> </w:t>
      </w:r>
      <w:r>
        <w:t xml:space="preserve">- Delta from last plan</w:t>
      </w:r>
    </w:p>
    <w:p>
      <w:r>
        <w:pict>
          <v:rect style="width:0;height:1.5pt" o:hralign="center" o:hrstd="t" o:hr="t"/>
        </w:pict>
      </w:r>
    </w:p>
    <w:bookmarkEnd w:id="34"/>
    <w:bookmarkStart w:id="35" w:name="roads-ground-design"/>
    <w:p>
      <w:pPr>
        <w:pStyle w:val="Heading1"/>
      </w:pPr>
      <w:r>
        <w:t xml:space="preserve">8. Roads &amp; Ground Design</w:t>
      </w:r>
    </w:p>
    <w:p>
      <w:pPr>
        <w:pStyle w:val="Compact"/>
        <w:numPr>
          <w:ilvl w:val="0"/>
          <w:numId w:val="1007"/>
        </w:numPr>
      </w:pPr>
      <w:r>
        <w:t xml:space="preserve">Districts separated by darker roads</w:t>
      </w:r>
    </w:p>
    <w:p>
      <w:pPr>
        <w:pStyle w:val="Compact"/>
        <w:numPr>
          <w:ilvl w:val="0"/>
          <w:numId w:val="1007"/>
        </w:numPr>
      </w:pPr>
      <w:r>
        <w:t xml:space="preserve">City grid layout</w:t>
      </w:r>
    </w:p>
    <w:p>
      <w:pPr>
        <w:pStyle w:val="Compact"/>
        <w:numPr>
          <w:ilvl w:val="0"/>
          <w:numId w:val="1007"/>
        </w:numPr>
      </w:pPr>
      <w:r>
        <w:t xml:space="preserve">Subtle ground texture</w:t>
      </w:r>
    </w:p>
    <w:p>
      <w:pPr>
        <w:pStyle w:val="Compact"/>
        <w:numPr>
          <w:ilvl w:val="0"/>
          <w:numId w:val="1007"/>
        </w:numPr>
      </w:pPr>
      <w:r>
        <w:t xml:space="preserve">Optional grid lines for alignment clarity</w:t>
      </w:r>
    </w:p>
    <w:p>
      <w:r>
        <w:pict>
          <v:rect style="width:0;height:1.5pt" o:hralign="center" o:hrstd="t" o:hr="t"/>
        </w:pict>
      </w:r>
    </w:p>
    <w:bookmarkEnd w:id="35"/>
    <w:bookmarkStart w:id="36" w:name="animations"/>
    <w:p>
      <w:pPr>
        <w:pStyle w:val="Heading1"/>
      </w:pPr>
      <w:r>
        <w:t xml:space="preserve">9. Animations</w:t>
      </w:r>
    </w:p>
    <w:p>
      <w:pPr>
        <w:pStyle w:val="FirstParagraph"/>
      </w:pPr>
      <w:r>
        <w:t xml:space="preserve">Animations must be subtle and informative:</w:t>
      </w:r>
    </w:p>
    <w:p>
      <w:pPr>
        <w:pStyle w:val="Compact"/>
        <w:numPr>
          <w:ilvl w:val="0"/>
          <w:numId w:val="1008"/>
        </w:numPr>
      </w:pPr>
      <w:r>
        <w:t xml:space="preserve">Building grows when instances increase</w:t>
      </w:r>
    </w:p>
    <w:p>
      <w:pPr>
        <w:pStyle w:val="Compact"/>
        <w:numPr>
          <w:ilvl w:val="0"/>
          <w:numId w:val="1008"/>
        </w:numPr>
      </w:pPr>
      <w:r>
        <w:t xml:space="preserve">Color transitions smoothly</w:t>
      </w:r>
    </w:p>
    <w:p>
      <w:pPr>
        <w:pStyle w:val="Compact"/>
        <w:numPr>
          <w:ilvl w:val="0"/>
          <w:numId w:val="1008"/>
        </w:numPr>
      </w:pPr>
      <w:r>
        <w:t xml:space="preserve">Delta changes animate upward/downward briefly</w:t>
      </w:r>
    </w:p>
    <w:p>
      <w:pPr>
        <w:pStyle w:val="Compact"/>
        <w:numPr>
          <w:ilvl w:val="0"/>
          <w:numId w:val="1008"/>
        </w:numPr>
      </w:pPr>
      <w:r>
        <w:t xml:space="preserve">No excessive motion</w:t>
      </w:r>
    </w:p>
    <w:p>
      <w:r>
        <w:pict>
          <v:rect style="width:0;height:1.5pt" o:hralign="center" o:hrstd="t" o:hr="t"/>
        </w:pict>
      </w:r>
    </w:p>
    <w:bookmarkEnd w:id="36"/>
    <w:bookmarkStart w:id="37" w:name="interaction-model"/>
    <w:p>
      <w:pPr>
        <w:pStyle w:val="Heading1"/>
      </w:pPr>
      <w:r>
        <w:t xml:space="preserve">10. Interaction Model</w:t>
      </w:r>
    </w:p>
    <w:p>
      <w:pPr>
        <w:pStyle w:val="FirstParagraph"/>
      </w:pPr>
      <w:r>
        <w:t xml:space="preserve">Click on building:</w:t>
      </w:r>
      <w:r>
        <w:t xml:space="preserve"> </w:t>
      </w:r>
      <w:r>
        <w:t xml:space="preserve">- Highlight building</w:t>
      </w:r>
      <w:r>
        <w:t xml:space="preserve"> </w:t>
      </w:r>
      <w:r>
        <w:t xml:space="preserve">- Open side panel</w:t>
      </w:r>
      <w:r>
        <w:t xml:space="preserve"> </w:t>
      </w:r>
      <w:r>
        <w:t xml:space="preserve">- Show cost breakdown</w:t>
      </w:r>
      <w:r>
        <w:t xml:space="preserve"> </w:t>
      </w:r>
      <w:r>
        <w:t xml:space="preserve">- Show configuration details</w:t>
      </w:r>
      <w:r>
        <w:t xml:space="preserve"> </w:t>
      </w:r>
      <w:r>
        <w:t xml:space="preserve">- Show Terraform diff</w:t>
      </w:r>
    </w:p>
    <w:p>
      <w:pPr>
        <w:pStyle w:val="BodyText"/>
      </w:pPr>
      <w:r>
        <w:t xml:space="preserve">Hover:</w:t>
      </w:r>
      <w:r>
        <w:t xml:space="preserve"> </w:t>
      </w:r>
      <w:r>
        <w:t xml:space="preserve">- Tooltip</w:t>
      </w:r>
    </w:p>
    <w:p>
      <w:pPr>
        <w:pStyle w:val="BodyText"/>
      </w:pPr>
      <w:r>
        <w:t xml:space="preserve">Toggle modes:</w:t>
      </w:r>
      <w:r>
        <w:t xml:space="preserve"> </w:t>
      </w:r>
      <w:r>
        <w:t xml:space="preserve">- Cost View</w:t>
      </w:r>
      <w:r>
        <w:t xml:space="preserve"> </w:t>
      </w:r>
      <w:r>
        <w:t xml:space="preserve">- Utilization View</w:t>
      </w:r>
      <w:r>
        <w:t xml:space="preserve"> </w:t>
      </w:r>
      <w:r>
        <w:t xml:space="preserve">- Security View</w:t>
      </w:r>
      <w:r>
        <w:t xml:space="preserve"> </w:t>
      </w:r>
      <w:r>
        <w:t xml:space="preserve">- Planning Diff View</w:t>
      </w:r>
    </w:p>
    <w:p>
      <w:r>
        <w:pict>
          <v:rect style="width:0;height:1.5pt" o:hralign="center" o:hrstd="t" o:hr="t"/>
        </w:pict>
      </w:r>
    </w:p>
    <w:bookmarkEnd w:id="37"/>
    <w:bookmarkStart w:id="38" w:name="performance-constraints"/>
    <w:p>
      <w:pPr>
        <w:pStyle w:val="Heading1"/>
      </w:pPr>
      <w:r>
        <w:t xml:space="preserve">11. Performance Constraints</w:t>
      </w:r>
    </w:p>
    <w:p>
      <w:pPr>
        <w:pStyle w:val="Compact"/>
        <w:numPr>
          <w:ilvl w:val="0"/>
          <w:numId w:val="1009"/>
        </w:numPr>
      </w:pPr>
      <w:r>
        <w:t xml:space="preserve">Use instanced meshes</w:t>
      </w:r>
    </w:p>
    <w:p>
      <w:pPr>
        <w:pStyle w:val="Compact"/>
        <w:numPr>
          <w:ilvl w:val="0"/>
          <w:numId w:val="1009"/>
        </w:numPr>
      </w:pPr>
      <w:r>
        <w:t xml:space="preserve">Level-of-detail rendering</w:t>
      </w:r>
    </w:p>
    <w:p>
      <w:pPr>
        <w:pStyle w:val="Compact"/>
        <w:numPr>
          <w:ilvl w:val="0"/>
          <w:numId w:val="1009"/>
        </w:numPr>
      </w:pPr>
      <w:r>
        <w:t xml:space="preserve">Lazy loading districts</w:t>
      </w:r>
    </w:p>
    <w:p>
      <w:pPr>
        <w:pStyle w:val="Compact"/>
        <w:numPr>
          <w:ilvl w:val="0"/>
          <w:numId w:val="1009"/>
        </w:numPr>
      </w:pPr>
      <w:r>
        <w:t xml:space="preserve">Limit simultaneous building render count</w:t>
      </w:r>
    </w:p>
    <w:p>
      <w:pPr>
        <w:pStyle w:val="Compact"/>
        <w:numPr>
          <w:ilvl w:val="0"/>
          <w:numId w:val="1009"/>
        </w:numPr>
      </w:pPr>
      <w:r>
        <w:t xml:space="preserve">Maintain 60 FPS target</w:t>
      </w:r>
    </w:p>
    <w:p>
      <w:r>
        <w:pict>
          <v:rect style="width:0;height:1.5pt" o:hralign="center" o:hrstd="t" o:hr="t"/>
        </w:pict>
      </w:r>
    </w:p>
    <w:bookmarkEnd w:id="38"/>
    <w:bookmarkStart w:id="39" w:name="thematic-modes-future-enhancements"/>
    <w:p>
      <w:pPr>
        <w:pStyle w:val="Heading1"/>
      </w:pPr>
      <w:r>
        <w:t xml:space="preserve">12. Thematic Modes (Future Enhancements)</w:t>
      </w:r>
    </w:p>
    <w:p>
      <w:pPr>
        <w:pStyle w:val="Compact"/>
        <w:numPr>
          <w:ilvl w:val="0"/>
          <w:numId w:val="1010"/>
        </w:numPr>
      </w:pPr>
      <w:r>
        <w:t xml:space="preserve">Day/Night mode</w:t>
      </w:r>
    </w:p>
    <w:p>
      <w:pPr>
        <w:pStyle w:val="Compact"/>
        <w:numPr>
          <w:ilvl w:val="0"/>
          <w:numId w:val="1010"/>
        </w:numPr>
      </w:pPr>
      <w:r>
        <w:t xml:space="preserve">Heatmap mode</w:t>
      </w:r>
    </w:p>
    <w:p>
      <w:pPr>
        <w:pStyle w:val="Compact"/>
        <w:numPr>
          <w:ilvl w:val="0"/>
          <w:numId w:val="1010"/>
        </w:numPr>
      </w:pPr>
      <w:r>
        <w:t xml:space="preserve">Budget threshold highlighting</w:t>
      </w:r>
    </w:p>
    <w:p>
      <w:pPr>
        <w:pStyle w:val="Compact"/>
        <w:numPr>
          <w:ilvl w:val="0"/>
          <w:numId w:val="1010"/>
        </w:numPr>
      </w:pPr>
      <w:r>
        <w:t xml:space="preserve">Executive simplified view</w:t>
      </w:r>
    </w:p>
    <w:p>
      <w:r>
        <w:pict>
          <v:rect style="width:0;height:1.5pt" o:hralign="center" o:hrstd="t" o:hr="t"/>
        </w:pict>
      </w:r>
    </w:p>
    <w:bookmarkEnd w:id="39"/>
    <w:bookmarkStart w:id="40" w:name="accessibility-considerations"/>
    <w:p>
      <w:pPr>
        <w:pStyle w:val="Heading1"/>
      </w:pPr>
      <w:r>
        <w:t xml:space="preserve">13. Accessibility Considerations</w:t>
      </w:r>
    </w:p>
    <w:p>
      <w:pPr>
        <w:pStyle w:val="Compact"/>
        <w:numPr>
          <w:ilvl w:val="0"/>
          <w:numId w:val="1011"/>
        </w:numPr>
      </w:pPr>
      <w:r>
        <w:t xml:space="preserve">Color-blind friendly palettes</w:t>
      </w:r>
    </w:p>
    <w:p>
      <w:pPr>
        <w:pStyle w:val="Compact"/>
        <w:numPr>
          <w:ilvl w:val="0"/>
          <w:numId w:val="1011"/>
        </w:numPr>
      </w:pPr>
      <w:r>
        <w:t xml:space="preserve">Tooltips with text labels</w:t>
      </w:r>
    </w:p>
    <w:p>
      <w:pPr>
        <w:pStyle w:val="Compact"/>
        <w:numPr>
          <w:ilvl w:val="0"/>
          <w:numId w:val="1011"/>
        </w:numPr>
      </w:pPr>
      <w:r>
        <w:t xml:space="preserve">Alternative 2D fallback view</w:t>
      </w:r>
    </w:p>
    <w:p>
      <w:r>
        <w:pict>
          <v:rect style="width:0;height:1.5pt" o:hralign="center" o:hrstd="t" o:hr="t"/>
        </w:pict>
      </w:r>
    </w:p>
    <w:bookmarkEnd w:id="40"/>
    <w:bookmarkStart w:id="41" w:name="summary"/>
    <w:p>
      <w:pPr>
        <w:pStyle w:val="Heading1"/>
      </w:pPr>
      <w:r>
        <w:t xml:space="preserve">14. Summary</w:t>
      </w:r>
    </w:p>
    <w:p>
      <w:pPr>
        <w:pStyle w:val="FirstParagraph"/>
      </w:pPr>
      <w:r>
        <w:t xml:space="preserve">The Cloud City visualization must transform complex cloud infrastructure into an intuitive skyline metaphor. The city must remain structured, predictable, and cost-aware, enabling both engineers and executives to understand infrastructure health and financial impact at a glance.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2026-02-12T07:19:02Z</dcterms:created>
  <dcterms:modified xsi:type="dcterms:W3CDTF">2026-02-12T07:19:02Z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