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Initialisation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set all 'slots' in table to be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all sum to be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Input_Parameter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input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+ve and odd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Construct_Magic_Square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(n + 1) div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repeat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value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magic[row, column]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value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zone 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zone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zone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zone 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 &gt; sqr(n)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Construct_Magic_Square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row_sum[row]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row_sum[row]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magic[row,column]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col_sum[column]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col_sum[column]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magic[row,column]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diag_sum[1]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diag_sum[1]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magic[row, column - 1]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diag_sum[2]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diag_sum[2]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magic[row - 1, column]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Display_Magic_Square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 of horizontal line above the table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diag_sum[2]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row := 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column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write(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magic[i,j]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writeln(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col_sum[n]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 of horizontal line below the table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write(diag_sum[1])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column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write(row_sum[x])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readln(option)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repeat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call Initialisation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call Input_Parameter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call Construct_Magic_Square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call Find_All_Sum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call Display_Magic_Square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['N', 'n'];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