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5.png" ContentType="image/png"/>
  <Override PartName="/word/media/rId59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8.png" ContentType="image/png"/>
  <Override PartName="/word/media/rId103.png" ContentType="image/png"/>
  <Override PartName="/word/media/rId108.png" ContentType="image/png"/>
  <Override PartName="/word/media/rId113.png" ContentType="image/png"/>
  <Override PartName="/word/media/rId1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№3</w:t>
      </w:r>
    </w:p>
    <w:p>
      <w:pPr>
        <w:pStyle w:val="Subtitle"/>
      </w:pPr>
      <w:r>
        <w:t xml:space="preserve">Работа с математикой в LaTeX</w:t>
      </w:r>
    </w:p>
    <w:p>
      <w:pPr>
        <w:pStyle w:val="Author"/>
      </w:pPr>
      <w:r>
        <w:t xml:space="preserve">Абрамян Артём Арменович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— рассмотреть математический режим LaTeX и то, как можно вводить и отображать формулы непосредственно в тексте, а также расширения, предоставляемые пакетом amsmath, и как изменять шрифты в математических выражениях.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Выполнить следующие задания:</w:t>
      </w:r>
    </w:p>
    <w:p>
      <w:pPr>
        <w:pStyle w:val="Compact"/>
        <w:numPr>
          <w:ilvl w:val="0"/>
          <w:numId w:val="1001"/>
        </w:numPr>
      </w:pPr>
      <w:r>
        <w:t xml:space="preserve">Повторить примеры, приведенные в теоретической части.</w:t>
      </w:r>
    </w:p>
    <w:p>
      <w:pPr>
        <w:pStyle w:val="Compact"/>
        <w:numPr>
          <w:ilvl w:val="0"/>
          <w:numId w:val="1001"/>
        </w:numPr>
      </w:pPr>
      <w:r>
        <w:t xml:space="preserve">Выполнить задания для самостоятельной работы.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математическом режиме пробелы игнорируются, и (почти всегда) применяется правильный интервал между символами.</w:t>
      </w:r>
      <w:r>
        <w:t xml:space="preserve"> </w:t>
      </w:r>
      <w:r>
        <w:t xml:space="preserve">Существует два типа математического режима:</w:t>
      </w:r>
    </w:p>
    <w:p>
      <w:pPr>
        <w:pStyle w:val="Compact"/>
        <w:numPr>
          <w:ilvl w:val="0"/>
          <w:numId w:val="1002"/>
        </w:numPr>
      </w:pPr>
      <w:r>
        <w:t xml:space="preserve">встроенный (inline) — для формул в строке текста</w:t>
      </w:r>
    </w:p>
    <w:p>
      <w:pPr>
        <w:pStyle w:val="Compact"/>
        <w:numPr>
          <w:ilvl w:val="0"/>
          <w:numId w:val="1002"/>
        </w:numPr>
      </w:pPr>
      <w:r>
        <w:t xml:space="preserve">отображаемый (display) — для выделенных формул</w:t>
      </w:r>
    </w:p>
    <w:p>
      <w:pPr>
        <w:pStyle w:val="FirstParagraph"/>
      </w:pPr>
      <w:r>
        <w:t xml:space="preserve">Более подробно про работу с математикой в LaTeX см. в</w:t>
      </w:r>
      <w:r>
        <w:t xml:space="preserve"> </w:t>
      </w:r>
      <w:r>
        <w:t xml:space="preserve">[1,2]</w:t>
      </w:r>
      <w:r>
        <w:t xml:space="preserve">.</w:t>
      </w:r>
    </w:p>
    <w:bookmarkEnd w:id="22"/>
    <w:bookmarkStart w:id="9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7" w:name="math-mode"/>
    <w:p>
      <w:pPr>
        <w:pStyle w:val="Heading2"/>
      </w:pPr>
      <w:r>
        <w:t xml:space="preserve">4.1 Math mode</w:t>
      </w:r>
    </w:p>
    <w:p>
      <w:pPr>
        <w:pStyle w:val="FirstParagraph"/>
      </w:pPr>
      <w:r>
        <w:t xml:space="preserve">Вы можете встретить математический ввод, «похожий на LaTeX», и в других местах, например, в системе MathJax для размещения уравнений на веб-страницах. Эти системы часто принимают небольшие вариации синтаксиса LaTeX, поскольку они фактически не используют LaTeX «за кулисами».</w:t>
      </w:r>
      <w:r>
        <w:t xml:space="preserve"> </w:t>
      </w:r>
      <w:r>
        <w:t xml:space="preserve">Все наши примеры — это корректный LaTeX. Если вы видите что-то другое в другом контексте, это может быть потому, что в примере на самом деле не используется LaTeX. Базовый пример математического режима показан на рисунке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206826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fig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68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Математический режим</w:t>
            </w:r>
          </w:p>
          <w:bookmarkEnd w:id="26"/>
        </w:tc>
      </w:tr>
    </w:tbl>
    <w:bookmarkEnd w:id="27"/>
    <w:bookmarkStart w:id="32" w:name="X853f8c459f3331247141590253d59bb7b80fa2b"/>
    <w:p>
      <w:pPr>
        <w:pStyle w:val="Heading2"/>
      </w:pPr>
      <w:r>
        <w:t xml:space="preserve">4.2 Встроенный математический режим и математическая нотация</w:t>
      </w:r>
    </w:p>
    <w:p>
      <w:pPr>
        <w:pStyle w:val="FirstParagraph"/>
      </w:pPr>
      <w:r>
        <w:t xml:space="preserve">Как видно из рисунка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 режим встроенных математических выражений обозначается парой символов доллара</w:t>
      </w:r>
      <w:r>
        <w:t xml:space="preserve"> </w:t>
      </w:r>
      <w:r>
        <w:rPr>
          <w:rStyle w:val="VerbatimChar"/>
        </w:rPr>
        <w:t xml:space="preserve">$...$</w:t>
      </w:r>
      <w:r>
        <w:t xml:space="preserve">. Также можно использовать обозначение</w:t>
      </w:r>
      <w:r>
        <w:t xml:space="preserve"> </w:t>
      </w:r>
      <w:r>
        <w:rPr>
          <w:rStyle w:val="VerbatimChar"/>
        </w:rPr>
        <w:t xml:space="preserve">\( ... \)</w:t>
      </w:r>
      <w:r>
        <w:t xml:space="preserve">. Простые выражения вводятся без какой-либо специальной разметки, и вы увидите, что математические выражения аккуратно расставлены и выделены курсивом.</w:t>
      </w:r>
    </w:p>
    <w:p>
      <w:pPr>
        <w:pStyle w:val="BodyText"/>
      </w:pPr>
      <w:r>
        <w:t xml:space="preserve">Режим встроенных математических выражений ограничивает вертикальный размер выражения, чтобы по возможности формула не нарушала межстрочный интервал абзаца.</w:t>
      </w:r>
      <w:r>
        <w:t xml:space="preserve"> </w:t>
      </w:r>
      <w:r>
        <w:t xml:space="preserve">Обратите внимание, что все математические выражения должны быть помечены как математические, даже если это один символ.</w:t>
      </w:r>
      <w:r>
        <w:t xml:space="preserve"> </w:t>
      </w:r>
      <w:r>
        <w:t xml:space="preserve">Используйте</w:t>
      </w:r>
      <w:r>
        <w:t xml:space="preserve"> </w:t>
      </w:r>
      <w:r>
        <w:rPr>
          <w:rStyle w:val="VerbatimChar"/>
        </w:rPr>
        <w:t xml:space="preserve">$2$</w:t>
      </w:r>
      <w:r>
        <w:t xml:space="preserve"> </w:t>
      </w:r>
      <w:r>
        <w:t xml:space="preserve">а не просто</w:t>
      </w:r>
      <w:r>
        <w:t xml:space="preserve"> </w:t>
      </w:r>
      <w:r>
        <w:rPr>
          <w:rStyle w:val="VerbatimChar"/>
        </w:rPr>
        <w:t xml:space="preserve">2</w:t>
      </w:r>
      <w:r>
        <w:t xml:space="preserve">, иначе, например, когда вам нужно отрицательное число и нужно получить знак минус,</w:t>
      </w:r>
      <w:r>
        <w:t xml:space="preserve"> </w:t>
      </w:r>
      <w:r>
        <w:rPr>
          <w:rStyle w:val="VerbatimChar"/>
        </w:rPr>
        <w:t xml:space="preserve">$-2$</w:t>
      </w:r>
      <w:r>
        <w:t xml:space="preserve"> </w:t>
      </w:r>
      <w:r>
        <w:t xml:space="preserve">может использовать цифры, которые могут быть другого шрифта, чем цифры в тексте (в зависимости от класса документа). И наоборот, остерегайтесь математических конструкций, встречающихся в</w:t>
      </w:r>
      <w:r>
        <w:t xml:space="preserve"> </w:t>
      </w:r>
      <w:r>
        <w:t xml:space="preserve">простом тексте, скопированном откуда-либо, например, денежных значениях, использующих</w:t>
      </w:r>
      <w:r>
        <w:t xml:space="preserve"> </w:t>
      </w:r>
      <w:r>
        <w:rPr>
          <w:rStyle w:val="VerbatimChar"/>
        </w:rPr>
        <w:t xml:space="preserve">$</w:t>
      </w:r>
      <w:r>
        <w:t xml:space="preserve">, или именах файлов,</w:t>
      </w:r>
      <w:r>
        <w:t xml:space="preserve"> </w:t>
      </w:r>
      <w:r>
        <w:t xml:space="preserve">использующих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(которые могут быть помечены как</w:t>
      </w:r>
      <w:r>
        <w:t xml:space="preserve"> </w:t>
      </w:r>
      <w:r>
        <w:rPr>
          <w:rStyle w:val="VerbatimChar"/>
        </w:rPr>
        <w:t xml:space="preserve">\$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\_</w:t>
      </w:r>
      <w:r>
        <w:t xml:space="preserve"> </w:t>
      </w:r>
      <w:r>
        <w:t xml:space="preserve">соответственно).</w:t>
      </w:r>
    </w:p>
    <w:p>
      <w:pPr>
        <w:pStyle w:val="BodyText"/>
      </w:pPr>
      <w:r>
        <w:t xml:space="preserve">Мы можем легко добавлять верхние и нижние индексы; они обозначаются символами</w:t>
      </w:r>
      <w:r>
        <w:t xml:space="preserve"> </w:t>
      </w:r>
      <w:r>
        <w:rPr>
          <w:rStyle w:val="VerbatimChar"/>
        </w:rPr>
        <w:t xml:space="preserve">^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соответственно.</w:t>
      </w:r>
    </w:p>
    <w:p>
      <w:pPr>
        <w:pStyle w:val="BodyText"/>
      </w:pPr>
      <w:r>
        <w:t xml:space="preserve">Существует множество специализированных команд математического режима. Некоторые из них довольно просты,</w:t>
      </w:r>
      <w:r>
        <w:t xml:space="preserve"> </w:t>
      </w:r>
      <w:r>
        <w:t xml:space="preserve">например,</w:t>
      </w:r>
      <w:r>
        <w:t xml:space="preserve"> </w:t>
      </w:r>
      <w:r>
        <w:rPr>
          <w:rStyle w:val="VerbatimChar"/>
        </w:rPr>
        <w:t xml:space="preserve">\sin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\log</w:t>
      </w:r>
      <w:r>
        <w:t xml:space="preserve"> </w:t>
      </w:r>
      <w:r>
        <w:t xml:space="preserve">для синуса и логарифма или</w:t>
      </w:r>
      <w:r>
        <w:t xml:space="preserve"> </w:t>
      </w:r>
      <w:r>
        <w:rPr>
          <w:rStyle w:val="VerbatimChar"/>
        </w:rPr>
        <w:t xml:space="preserve">\theta</w:t>
      </w:r>
      <w:r>
        <w:t xml:space="preserve"> </w:t>
      </w:r>
      <w:r>
        <w:t xml:space="preserve">для греческой буквы. Примеры математических команд показаны на рисунке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002"/>
          <w:p>
            <w:pPr>
              <w:pStyle w:val="Compact"/>
              <w:jc w:val="center"/>
            </w:pPr>
            <w:r>
              <w:drawing>
                <wp:inline>
                  <wp:extent cx="3733800" cy="1094389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fig0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43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Математические команды</w:t>
            </w:r>
          </w:p>
          <w:bookmarkEnd w:id="31"/>
        </w:tc>
      </w:tr>
    </w:tbl>
    <w:bookmarkEnd w:id="32"/>
    <w:bookmarkStart w:id="45" w:name="отображение-математики"/>
    <w:p>
      <w:pPr>
        <w:pStyle w:val="Heading2"/>
      </w:pPr>
      <w:r>
        <w:t xml:space="preserve">4.3 Отображение математики</w:t>
      </w:r>
    </w:p>
    <w:p>
      <w:pPr>
        <w:pStyle w:val="FirstParagraph"/>
      </w:pPr>
      <w:r>
        <w:t xml:space="preserve">Для режима отображения математических выражений можно использовать те же команды, что и для встроенных вычислений.</w:t>
      </w:r>
      <w:r>
        <w:t xml:space="preserve"> </w:t>
      </w:r>
      <w:r>
        <w:t xml:space="preserve">Режим отображения математических выражений по умолчанию центрирован и предназначен для больших уравнений,</w:t>
      </w:r>
      <w:r>
        <w:t xml:space="preserve"> </w:t>
      </w:r>
      <w:r>
        <w:t xml:space="preserve">являющихся «частью абзаца». Обратите внимание, что среды отображения математических выражений не позволяют абзацу заканчиваться внутри математических выражений, поэтому у вас не должно быть пустых строк в исходном коде отображения.</w:t>
      </w:r>
      <w:r>
        <w:t xml:space="preserve"> </w:t>
      </w:r>
      <w:r>
        <w:t xml:space="preserve">Абзац всегда должен начинаться перед отображением, поэтому не оставляйте пустую строку перед средой отображения математических выражений. Если вам нужно несколько строк математических выражений,</w:t>
      </w:r>
      <w:r>
        <w:t xml:space="preserve"> </w:t>
      </w:r>
      <w:r>
        <w:t xml:space="preserve">не используйте последовательные среды отображения математических выражений (это приводит к непоследовательному</w:t>
      </w:r>
      <w:r>
        <w:t xml:space="preserve"> </w:t>
      </w:r>
      <w:r>
        <w:t xml:space="preserve">интервалу); используйте одну из многострочных сред отображения, например, align из пакета</w:t>
      </w:r>
      <w:r>
        <w:t xml:space="preserve"> </w:t>
      </w:r>
      <w:r>
        <w:t xml:space="preserve">amsmath, описанного далее.</w:t>
      </w:r>
    </w:p>
    <w:p>
      <w:pPr>
        <w:pStyle w:val="BodyText"/>
      </w:pPr>
      <w:r>
        <w:t xml:space="preserve">Это особенно полезно для интеграций, как показано на рисунке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3"/>
          <w:p>
            <w:pPr>
              <w:pStyle w:val="Compact"/>
              <w:jc w:val="center"/>
            </w:pPr>
            <w:r>
              <w:drawing>
                <wp:inline>
                  <wp:extent cx="3733800" cy="1202604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fig03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026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Пример большого уравнения</w:t>
            </w:r>
          </w:p>
          <w:bookmarkEnd w:id="36"/>
        </w:tc>
      </w:tr>
    </w:tbl>
    <w:p>
      <w:pPr>
        <w:pStyle w:val="BodyText"/>
      </w:pPr>
      <w:r>
        <w:t xml:space="preserve">Обратите внимание, как здесь используется нижний/верхний индекс для установки пределов интегрирования.</w:t>
      </w:r>
      <w:r>
        <w:t xml:space="preserve"> </w:t>
      </w:r>
      <w:r>
        <w:t xml:space="preserve">Мы добавили здесь один пробел вручную:</w:t>
      </w:r>
      <w:r>
        <w:t xml:space="preserve"> </w:t>
      </w:r>
      <w:r>
        <w:rPr>
          <w:rStyle w:val="VerbatimChar"/>
        </w:rPr>
        <w:t xml:space="preserve">\,</w:t>
      </w:r>
      <w:r>
        <w:t xml:space="preserve"> </w:t>
      </w:r>
      <w:r>
        <w:t xml:space="preserve">создающий тонкий пробел перед</w:t>
      </w:r>
      <w:r>
        <w:t xml:space="preserve"> </w:t>
      </w:r>
      <w:r>
        <w:t xml:space="preserve">dx. Форматирование оператора дифференциала различается: некоторые издатели используют прямую букву «d»,</w:t>
      </w:r>
      <w:r>
        <w:t xml:space="preserve"> </w:t>
      </w:r>
      <w:r>
        <w:t xml:space="preserve">а другие — курсивную. Один из способов написать исходный код, позволяющий обрабатывать любой из вариантов, —</w:t>
      </w:r>
      <w:r>
        <w:t xml:space="preserve"> </w:t>
      </w:r>
      <w:r>
        <w:t xml:space="preserve">это создать команду</w:t>
      </w:r>
      <w:r>
        <w:t xml:space="preserve"> </w:t>
      </w:r>
      <w:r>
        <w:rPr>
          <w:rStyle w:val="VerbatimChar"/>
        </w:rPr>
        <w:t xml:space="preserve">\diff</w:t>
      </w:r>
      <w:r>
        <w:t xml:space="preserve">, которую можно настраивать по мере необходимости, как показано на рисунке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4"/>
          <w:p>
            <w:pPr>
              <w:pStyle w:val="Compact"/>
              <w:jc w:val="center"/>
            </w:pPr>
            <w:r>
              <w:drawing>
                <wp:inline>
                  <wp:extent cx="3733800" cy="42783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fig04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78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Команда diff</w:t>
            </w:r>
          </w:p>
          <w:bookmarkEnd w:id="40"/>
        </w:tc>
      </w:tr>
    </w:tbl>
    <w:p>
      <w:pPr>
        <w:pStyle w:val="BodyText"/>
      </w:pPr>
      <w:r>
        <w:t xml:space="preserve">Часто возникает необходимость в пронумерованном уравнении, которое создается с помощью среды для создания уравнений. Пример нумерации показан на рисунке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1626379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fig0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63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Нумерация уравнений</w:t>
            </w:r>
          </w:p>
          <w:bookmarkEnd w:id="44"/>
        </w:tc>
      </w:tr>
    </w:tbl>
    <w:p>
      <w:pPr>
        <w:pStyle w:val="BodyText"/>
      </w:pPr>
      <w:r>
        <w:t xml:space="preserve">Номер уравнения автоматически увеличивается и может быть простым числом,</w:t>
      </w:r>
      <w:r>
        <w:t xml:space="preserve"> </w:t>
      </w:r>
      <w:r>
        <w:t xml:space="preserve">как в этом примере, или может начинаться с номера раздела, например, (2.5) для 5-го</w:t>
      </w:r>
      <w:r>
        <w:t xml:space="preserve"> </w:t>
      </w:r>
      <w:r>
        <w:t xml:space="preserve">уравнения в разделе 2. Детали форматирования задаются классом документа</w:t>
      </w:r>
      <w:r>
        <w:t xml:space="preserve"> </w:t>
      </w:r>
      <w:r>
        <w:t xml:space="preserve">и здесь не описываются.</w:t>
      </w:r>
    </w:p>
    <w:bookmarkEnd w:id="45"/>
    <w:bookmarkStart w:id="54" w:name="пакет-amsmath"/>
    <w:p>
      <w:pPr>
        <w:pStyle w:val="Heading2"/>
      </w:pPr>
      <w:r>
        <w:t xml:space="preserve">4.4 Пакет amsmath</w:t>
      </w:r>
    </w:p>
    <w:p>
      <w:pPr>
        <w:pStyle w:val="FirstParagraph"/>
      </w:pPr>
      <w:r>
        <w:t xml:space="preserve">Математическая нотация очень богата, а это значит, что инструменты, встроенные в ядро LaTeX, не могут охватить всё.</w:t>
      </w:r>
      <w:r>
        <w:t xml:space="preserve"> </w:t>
      </w:r>
      <w:r>
        <w:t xml:space="preserve">Пакет amsmath расширяет поддержку ядра, охватывая гораздо больше идей.</w:t>
      </w:r>
      <w:r>
        <w:t xml:space="preserve"> </w:t>
      </w:r>
      <w:r>
        <w:t xml:space="preserve">Руководство пользователя amsmath содержит гораздо больше примеров, чем мы можем показать в этом уроке. Пример использования окружения</w:t>
      </w:r>
      <w:r>
        <w:t xml:space="preserve"> </w:t>
      </w:r>
      <w:r>
        <w:rPr>
          <w:rStyle w:val="VerbatimChar"/>
        </w:rPr>
        <w:t xml:space="preserve">align*</w:t>
      </w:r>
      <w:r>
        <w:t xml:space="preserve"> </w:t>
      </w:r>
      <w:r>
        <w:t xml:space="preserve">показан на рисунке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1815984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fig0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15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align*</w:t>
            </w:r>
          </w:p>
          <w:bookmarkEnd w:id="49"/>
        </w:tc>
      </w:tr>
    </w:tbl>
    <w:p>
      <w:pPr>
        <w:pStyle w:val="BodyText"/>
      </w:pPr>
      <w:r>
        <w:t xml:space="preserve">Окружение</w:t>
      </w:r>
      <w:r>
        <w:t xml:space="preserve"> </w:t>
      </w:r>
      <w:r>
        <w:rPr>
          <w:rStyle w:val="VerbatimChar"/>
        </w:rPr>
        <w:t xml:space="preserve">align*</w:t>
      </w:r>
      <w:r>
        <w:t xml:space="preserve"> </w:t>
      </w:r>
      <w:r>
        <w:t xml:space="preserve">выравнивает уравнения по амперсандам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 как в таблице.</w:t>
      </w:r>
      <w:r>
        <w:t xml:space="preserve"> </w:t>
      </w:r>
      <w:r>
        <w:t xml:space="preserve">Обратите внимание, как мы использовали</w:t>
      </w:r>
      <w:r>
        <w:t xml:space="preserve"> </w:t>
      </w:r>
      <w:r>
        <w:rPr>
          <w:rStyle w:val="VerbatimChar"/>
        </w:rPr>
        <w:t xml:space="preserve">\quad</w:t>
      </w:r>
      <w:r>
        <w:t xml:space="preserve"> </w:t>
      </w:r>
      <w:r>
        <w:t xml:space="preserve">для вставки небольшого пробела и</w:t>
      </w:r>
      <w:r>
        <w:t xml:space="preserve"> </w:t>
      </w:r>
      <w:r>
        <w:rPr>
          <w:rStyle w:val="VerbatimChar"/>
        </w:rPr>
        <w:t xml:space="preserve">\text</w:t>
      </w:r>
      <w:r>
        <w:t xml:space="preserve"> </w:t>
      </w:r>
      <w:r>
        <w:t xml:space="preserve">для размещения обычного текста в математическом режиме. Мы также использовали другую команду математического режима,</w:t>
      </w:r>
      <w:r>
        <w:t xml:space="preserve"> </w:t>
      </w:r>
      <w:r>
        <w:rPr>
          <w:rStyle w:val="VerbatimChar"/>
        </w:rPr>
        <w:t xml:space="preserve">\binom</w:t>
      </w:r>
      <w:r>
        <w:t xml:space="preserve">, для бинома.</w:t>
      </w:r>
      <w:r>
        <w:t xml:space="preserve"> </w:t>
      </w:r>
      <w:r>
        <w:t xml:space="preserve">Обратите внимание, что здесь мы использовали</w:t>
      </w:r>
      <w:r>
        <w:t xml:space="preserve"> </w:t>
      </w:r>
      <w:r>
        <w:rPr>
          <w:rStyle w:val="VerbatimChar"/>
        </w:rPr>
        <w:t xml:space="preserve">align*</w:t>
      </w:r>
      <w:r>
        <w:t xml:space="preserve">, и уравнение не было пронумеровано.</w:t>
      </w:r>
      <w:r>
        <w:t xml:space="preserve"> </w:t>
      </w:r>
      <w:r>
        <w:t xml:space="preserve">В большинстве математических окружений уравнения нумеруются по умолчанию, а вариант со звездочкой (*) отключает нумерацию.</w:t>
      </w:r>
      <w:r>
        <w:t xml:space="preserve"> </w:t>
      </w:r>
      <w:r>
        <w:t xml:space="preserve">Пакет также имеет несколько других удобных окружений, например, для матриц, как показано на рисунке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7"/>
          <w:p>
            <w:pPr>
              <w:pStyle w:val="Compact"/>
              <w:jc w:val="center"/>
            </w:pPr>
            <w:r>
              <w:drawing>
                <wp:inline>
                  <wp:extent cx="3733800" cy="944179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fig07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44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Матрицы</w:t>
            </w:r>
          </w:p>
          <w:bookmarkEnd w:id="53"/>
        </w:tc>
      </w:tr>
    </w:tbl>
    <w:bookmarkEnd w:id="54"/>
    <w:bookmarkStart w:id="63" w:name="шрифты-в-математическом-режиме"/>
    <w:p>
      <w:pPr>
        <w:pStyle w:val="Heading2"/>
      </w:pPr>
      <w:r>
        <w:t xml:space="preserve">4.5 Шрифты в математическом режиме</w:t>
      </w:r>
    </w:p>
    <w:p>
      <w:pPr>
        <w:pStyle w:val="FirstParagraph"/>
      </w:pPr>
      <w:r>
        <w:t xml:space="preserve">В отличие от обычного текста, изменение шрифта в математическом режиме часто передает очень специфический смысл.</w:t>
      </w:r>
      <w:r>
        <w:t xml:space="preserve"> </w:t>
      </w:r>
      <w:r>
        <w:t xml:space="preserve">Поэтому они часто записываются явно. Вам понадобится следующий набор команд: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\mathrm</w:t>
      </w:r>
      <w:r>
        <w:t xml:space="preserve">: прямой шрифт (roman)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\mathit</w:t>
      </w:r>
      <w:r>
        <w:t xml:space="preserve">: курсив с интервалом «текст»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\mathbf</w:t>
      </w:r>
      <w:r>
        <w:t xml:space="preserve">: жирный шрифт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\mathsf</w:t>
      </w:r>
      <w:r>
        <w:t xml:space="preserve">: без засечек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\mathtt</w:t>
      </w:r>
      <w:r>
        <w:t xml:space="preserve">: моноширинный шрифт (печатная машинка)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\mathbb</w:t>
      </w:r>
      <w:r>
        <w:t xml:space="preserve">: двойной штрих (blackboard bold) (предоставляется пакетом amsfonts)</w:t>
      </w:r>
    </w:p>
    <w:p>
      <w:pPr>
        <w:pStyle w:val="FirstParagraph"/>
      </w:pPr>
      <w:r>
        <w:t xml:space="preserve">Каждая из этих команд принимает в качестве аргумента латинские буквы, поэтому, например, мы можем написать</w:t>
      </w:r>
      <w:r>
        <w:t xml:space="preserve"> </w:t>
      </w:r>
      <w:r>
        <w:t xml:space="preserve">матрицу, как показано на рисунке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8"/>
          <w:p>
            <w:pPr>
              <w:pStyle w:val="Compact"/>
              <w:jc w:val="center"/>
            </w:pPr>
            <w:r>
              <w:drawing>
                <wp:inline>
                  <wp:extent cx="2813538" cy="933583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fig08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3538" cy="933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mathbf</w:t>
            </w:r>
          </w:p>
          <w:bookmarkEnd w:id="58"/>
        </w:tc>
      </w:tr>
    </w:tbl>
    <w:p>
      <w:pPr>
        <w:pStyle w:val="BodyText"/>
      </w:pPr>
      <w:r>
        <w:t xml:space="preserve">Обратите внимание, что курсивный шрифт по умолчанию разделяет буквы, чтобы их можно было использовать для обозначения</w:t>
      </w:r>
      <w:r>
        <w:t xml:space="preserve"> </w:t>
      </w:r>
      <w:r>
        <w:t xml:space="preserve">произведения переменных. Используйте команду</w:t>
      </w:r>
      <w:r>
        <w:t xml:space="preserve"> </w:t>
      </w:r>
      <w:r>
        <w:rPr>
          <w:rStyle w:val="VerbatimChar"/>
        </w:rPr>
        <w:t xml:space="preserve">\mathit</w:t>
      </w:r>
      <w:r>
        <w:t xml:space="preserve">, чтобы сделать слово курсивным.</w:t>
      </w:r>
      <w:r>
        <w:t xml:space="preserve"> </w:t>
      </w:r>
      <w:r>
        <w:t xml:space="preserve">Команды шрифта</w:t>
      </w:r>
      <w:r>
        <w:t xml:space="preserve"> </w:t>
      </w:r>
      <w:r>
        <w:rPr>
          <w:rStyle w:val="VerbatimChar"/>
        </w:rPr>
        <w:t xml:space="preserve">\math..</w:t>
      </w:r>
      <w:r>
        <w:t xml:space="preserve"> </w:t>
      </w:r>
      <w:r>
        <w:t xml:space="preserve">используют шрифты, предназначенные для математических операций. Иногда вам</w:t>
      </w:r>
      <w:r>
        <w:t xml:space="preserve"> </w:t>
      </w:r>
      <w:r>
        <w:t xml:space="preserve">необходимо встроить слово, которое является частью внешней структуры предложения и требует использования</w:t>
      </w:r>
      <w:r>
        <w:t xml:space="preserve"> </w:t>
      </w:r>
      <w:r>
        <w:t xml:space="preserve">текущего шрифта текста; для этого вы можете использовать команду</w:t>
      </w:r>
      <w:r>
        <w:t xml:space="preserve"> </w:t>
      </w:r>
      <w:r>
        <w:rPr>
          <w:rStyle w:val="VerbatimChar"/>
        </w:rPr>
        <w:t xml:space="preserve">\text{...}</w:t>
      </w:r>
      <w:r>
        <w:t xml:space="preserve"> </w:t>
      </w:r>
      <w:r>
        <w:t xml:space="preserve">(которая предоставляется пакетом</w:t>
      </w:r>
      <w:r>
        <w:t xml:space="preserve"> </w:t>
      </w:r>
      <w:r>
        <w:t xml:space="preserve">amsmath) или специальные стили шрифтов, такие как</w:t>
      </w:r>
      <w:r>
        <w:t xml:space="preserve"> </w:t>
      </w:r>
      <w:r>
        <w:rPr>
          <w:rStyle w:val="VerbatimChar"/>
        </w:rPr>
        <w:t xml:space="preserve">\textrm{..}</w:t>
      </w:r>
      <w:r>
        <w:t xml:space="preserve">. Пример показан на рисунке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09"/>
          <w:p>
            <w:pPr>
              <w:pStyle w:val="Compact"/>
              <w:jc w:val="center"/>
            </w:pPr>
            <w:r>
              <w:drawing>
                <wp:inline>
                  <wp:extent cx="3733800" cy="1687799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fig09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877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mathit</w:t>
            </w:r>
          </w:p>
          <w:bookmarkEnd w:id="62"/>
        </w:tc>
      </w:tr>
    </w:tbl>
    <w:bookmarkEnd w:id="63"/>
    <w:bookmarkStart w:id="68" w:name="дальнейшие-выравнивания-amsmath"/>
    <w:p>
      <w:pPr>
        <w:pStyle w:val="Heading2"/>
      </w:pPr>
      <w:r>
        <w:t xml:space="preserve">4.6 Дальнейшие выравнивания amsmath</w:t>
      </w:r>
    </w:p>
    <w:p>
      <w:pPr>
        <w:pStyle w:val="FirstParagraph"/>
      </w:pPr>
      <w:r>
        <w:t xml:space="preserve">В дополнение к среде</w:t>
      </w:r>
      <w:r>
        <w:t xml:space="preserve"> </w:t>
      </w:r>
      <w:r>
        <w:rPr>
          <w:rStyle w:val="VerbatimChar"/>
        </w:rPr>
        <w:t xml:space="preserve">align*</w:t>
      </w:r>
      <w:r>
        <w:t xml:space="preserve">, показанной выше, amsmath имеет</w:t>
      </w:r>
      <w:r>
        <w:t xml:space="preserve"> </w:t>
      </w:r>
      <w:r>
        <w:t xml:space="preserve">несколько других конструкций для отображения математических формул, в частности</w:t>
      </w:r>
      <w:r>
        <w:t xml:space="preserve"> </w:t>
      </w:r>
      <w:r>
        <w:rPr>
          <w:rStyle w:val="VerbatimChar"/>
        </w:rPr>
        <w:t xml:space="preserve">gather</w:t>
      </w:r>
      <w:r>
        <w:t xml:space="preserve"> </w:t>
      </w:r>
      <w:r>
        <w:t xml:space="preserve">для многострочных отображений,</w:t>
      </w:r>
      <w:r>
        <w:t xml:space="preserve"> </w:t>
      </w:r>
      <w:r>
        <w:t xml:space="preserve">которые не требуют выравнивания, и</w:t>
      </w:r>
      <w:r>
        <w:t xml:space="preserve"> </w:t>
      </w:r>
      <w:r>
        <w:rPr>
          <w:rStyle w:val="VerbatimChar"/>
        </w:rPr>
        <w:t xml:space="preserve">multline</w:t>
      </w:r>
      <w:r>
        <w:t xml:space="preserve"> </w:t>
      </w:r>
      <w:r>
        <w:t xml:space="preserve">для разделения большого единого выражения на</w:t>
      </w:r>
      <w:r>
        <w:t xml:space="preserve"> </w:t>
      </w:r>
      <w:r>
        <w:t xml:space="preserve">несколько строк, выравнивая первую строку слева, а последнюю справа. Во всех случаях</w:t>
      </w:r>
      <w:r>
        <w:t xml:space="preserve"> </w:t>
      </w:r>
      <w:r>
        <w:t xml:space="preserve">форма * по умолчанию опускает номера уравнений. Пример окружения</w:t>
      </w:r>
      <w:r>
        <w:t xml:space="preserve"> </w:t>
      </w:r>
      <w:r>
        <w:rPr>
          <w:rStyle w:val="VerbatimChar"/>
        </w:rPr>
        <w:t xml:space="preserve">gather</w:t>
      </w:r>
      <w:r>
        <w:t xml:space="preserve"> </w:t>
      </w:r>
      <w:r>
        <w:t xml:space="preserve">показан на рисунке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0"/>
          <w:p>
            <w:pPr>
              <w:pStyle w:val="Compact"/>
              <w:jc w:val="center"/>
            </w:pPr>
            <w:r>
              <w:drawing>
                <wp:inline>
                  <wp:extent cx="3733800" cy="1601008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fig10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100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Gather</w:t>
            </w:r>
          </w:p>
          <w:bookmarkEnd w:id="67"/>
        </w:tc>
      </w:tr>
    </w:tbl>
    <w:bookmarkEnd w:id="68"/>
    <w:bookmarkStart w:id="77" w:name="X0fd3d574874efb8949c0b8628b82795bcf477cd"/>
    <w:p>
      <w:pPr>
        <w:pStyle w:val="Heading2"/>
      </w:pPr>
      <w:r>
        <w:t xml:space="preserve">4.7 Выравнивание столбцов в математических выражениях</w:t>
      </w:r>
    </w:p>
    <w:p>
      <w:pPr>
        <w:pStyle w:val="FirstParagraph"/>
      </w:pPr>
      <w:r>
        <w:t xml:space="preserve">Среды выравнивания amsmath предназначены для работы с парами столбцов, где</w:t>
      </w:r>
      <w:r>
        <w:t xml:space="preserve"> </w:t>
      </w:r>
      <w:r>
        <w:t xml:space="preserve">первый столбец каждой пары выровнен по правому краю, а второй — по левому.</w:t>
      </w:r>
      <w:r>
        <w:t xml:space="preserve"> </w:t>
      </w:r>
      <w:r>
        <w:t xml:space="preserve">Это позволяет отображать несколько уравнений, каждое из которых выровнено по отношению к своему символу связи, как показано на рисунке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1"/>
          <w:p>
            <w:pPr>
              <w:pStyle w:val="Compact"/>
              <w:jc w:val="center"/>
            </w:pPr>
            <w:r>
              <w:drawing>
                <wp:inline>
                  <wp:extent cx="3733800" cy="115703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fig11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7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Выравнивание уравнений</w:t>
            </w:r>
          </w:p>
          <w:bookmarkEnd w:id="72"/>
        </w:tc>
      </w:tr>
    </w:tbl>
    <w:p>
      <w:pPr>
        <w:pStyle w:val="BodyText"/>
      </w:pPr>
      <w:r>
        <w:t xml:space="preserve">Кроме того, существуют варианты отображаемых сред, оканчивающихся на</w:t>
      </w:r>
      <w:r>
        <w:t xml:space="preserve"> </w:t>
      </w:r>
      <w:r>
        <w:t xml:space="preserve">“ed”</w:t>
      </w:r>
      <w:r>
        <w:t xml:space="preserve">, которые образуют</w:t>
      </w:r>
      <w:r>
        <w:t xml:space="preserve"> </w:t>
      </w:r>
      <w:r>
        <w:t xml:space="preserve">подтермин внутри более крупного отображения. Например,</w:t>
      </w:r>
      <w:r>
        <w:t xml:space="preserve"> </w:t>
      </w:r>
      <w:r>
        <w:rPr>
          <w:rStyle w:val="VerbatimChar"/>
        </w:rPr>
        <w:t xml:space="preserve">aligned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gathered</w:t>
      </w:r>
      <w:r>
        <w:t xml:space="preserve"> </w:t>
      </w:r>
      <w:r>
        <w:t xml:space="preserve">являются вариантами</w:t>
      </w:r>
      <w:r>
        <w:t xml:space="preserve"> </w:t>
      </w:r>
      <w:r>
        <w:t xml:space="preserve">соответственно</w:t>
      </w:r>
      <w:r>
        <w:t xml:space="preserve"> </w:t>
      </w:r>
      <w:r>
        <w:rPr>
          <w:rStyle w:val="VerbatimChar"/>
        </w:rPr>
        <w:t xml:space="preserve">align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gather</w:t>
      </w:r>
      <w:r>
        <w:t xml:space="preserve">. Пример использования показан на рисунке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2"/>
          <w:p>
            <w:pPr>
              <w:pStyle w:val="Compact"/>
              <w:jc w:val="center"/>
            </w:pPr>
            <w:r>
              <w:drawing>
                <wp:inline>
                  <wp:extent cx="3733800" cy="1242699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fig12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426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Использование aligned</w:t>
            </w:r>
          </w:p>
          <w:bookmarkEnd w:id="76"/>
        </w:tc>
      </w:tr>
    </w:tbl>
    <w:bookmarkEnd w:id="77"/>
    <w:bookmarkStart w:id="86" w:name="bold-math"/>
    <w:p>
      <w:pPr>
        <w:pStyle w:val="Heading2"/>
      </w:pPr>
      <w:r>
        <w:t xml:space="preserve">4.8 Bold Math</w:t>
      </w:r>
    </w:p>
    <w:p>
      <w:pPr>
        <w:pStyle w:val="FirstParagraph"/>
      </w:pPr>
      <w:r>
        <w:t xml:space="preserve">В стандартном LaTeX есть два способа выделить символы в математических выражениях жирным шрифтом.</w:t>
      </w:r>
      <w:r>
        <w:t xml:space="preserve"> </w:t>
      </w:r>
      <w:r>
        <w:t xml:space="preserve">Чтобы выделить жирным шрифтом всё выражение целиком, используйте команду</w:t>
      </w:r>
      <w:r>
        <w:t xml:space="preserve"> </w:t>
      </w:r>
      <w:r>
        <w:rPr>
          <w:rStyle w:val="VerbatimChar"/>
        </w:rPr>
        <w:t xml:space="preserve">\boldmath</w:t>
      </w:r>
      <w:r>
        <w:t xml:space="preserve"> </w:t>
      </w:r>
      <w:r>
        <w:t xml:space="preserve">перед вводом выражения.</w:t>
      </w:r>
      <w:r>
        <w:t xml:space="preserve"> </w:t>
      </w:r>
      <w:r>
        <w:t xml:space="preserve">Также доступна команда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для выделения отдельных букв или слов прямым жирным шрифтом. Пример показан на рисунке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3"/>
          <w:p>
            <w:pPr>
              <w:pStyle w:val="Compact"/>
              <w:jc w:val="center"/>
            </w:pPr>
            <w:r>
              <w:drawing>
                <wp:inline>
                  <wp:extent cx="3733800" cy="1172646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fig13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2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boldmath</w:t>
            </w:r>
          </w:p>
          <w:bookmarkEnd w:id="81"/>
        </w:tc>
      </w:tr>
    </w:tbl>
    <w:p>
      <w:pPr>
        <w:pStyle w:val="BodyText"/>
      </w:pPr>
      <w:r>
        <w:t xml:space="preserve">Если вам нужно получить доступ к символам, выделенным жирным шрифтом (как это делается с помощью команды</w:t>
      </w:r>
      <w:r>
        <w:t xml:space="preserve"> </w:t>
      </w:r>
      <w:r>
        <w:rPr>
          <w:rStyle w:val="VerbatimChar"/>
        </w:rPr>
        <w:t xml:space="preserve">\boldmath</w:t>
      </w:r>
      <w:r>
        <w:t xml:space="preserve">),</w:t>
      </w:r>
      <w:r>
        <w:t xml:space="preserve"> </w:t>
      </w:r>
      <w:r>
        <w:t xml:space="preserve">внутри выражения, содержащего обычный вес символов, вы можете использовать команду</w:t>
      </w:r>
      <w:r>
        <w:t xml:space="preserve"> </w:t>
      </w:r>
      <w:r>
        <w:rPr>
          <w:rStyle w:val="VerbatimChar"/>
        </w:rPr>
        <w:t xml:space="preserve">\bm</w:t>
      </w:r>
      <w:r>
        <w:t xml:space="preserve"> </w:t>
      </w:r>
      <w:r>
        <w:t xml:space="preserve">из пакета bm. Обратите внимание,</w:t>
      </w:r>
      <w:r>
        <w:t xml:space="preserve"> </w:t>
      </w:r>
      <w:r>
        <w:t xml:space="preserve">что команда</w:t>
      </w:r>
      <w:r>
        <w:t xml:space="preserve"> </w:t>
      </w:r>
      <w:r>
        <w:rPr>
          <w:rStyle w:val="VerbatimChar"/>
        </w:rPr>
        <w:t xml:space="preserve">\bm</w:t>
      </w:r>
      <w:r>
        <w:t xml:space="preserve"> </w:t>
      </w:r>
      <w:r>
        <w:t xml:space="preserve">также работает с такими символами, как знак равенства (=) и греческие буквы.</w:t>
      </w:r>
      <w:r>
        <w:t xml:space="preserve"> </w:t>
      </w:r>
      <w:r>
        <w:t xml:space="preserve">(Обратите внимание, что команда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не влияет на символ</w:t>
      </w:r>
      <w:r>
        <w:t xml:space="preserve"> </w:t>
      </w:r>
      <w:r>
        <w:rPr>
          <w:rStyle w:val="VerbatimChar"/>
        </w:rPr>
        <w:t xml:space="preserve">\pi</w:t>
      </w:r>
      <w:r>
        <w:t xml:space="preserve"> </w:t>
      </w:r>
      <w:r>
        <w:t xml:space="preserve">в приведенном выше примере.) Пример использования показан на рисунке</w:t>
      </w:r>
      <w:r>
        <w:t xml:space="preserve"> </w:t>
      </w:r>
      <w:hyperlink w:anchor="fig-014">
        <w:r>
          <w:rPr>
            <w:rStyle w:val="Hyperlink"/>
          </w:rPr>
          <w:t xml:space="preserve">14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4"/>
          <w:p>
            <w:pPr>
              <w:pStyle w:val="Compact"/>
              <w:jc w:val="center"/>
            </w:pPr>
            <w:r>
              <w:drawing>
                <wp:inline>
                  <wp:extent cx="3733800" cy="1433826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fig14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38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bm</w:t>
            </w:r>
          </w:p>
          <w:bookmarkEnd w:id="85"/>
        </w:tc>
      </w:tr>
    </w:tbl>
    <w:bookmarkEnd w:id="86"/>
    <w:bookmarkStart w:id="91" w:name="математические-инструменты"/>
    <w:p>
      <w:pPr>
        <w:pStyle w:val="Heading2"/>
      </w:pPr>
      <w:r>
        <w:t xml:space="preserve">4.9 Математические инструменты</w:t>
      </w:r>
    </w:p>
    <w:p>
      <w:pPr>
        <w:pStyle w:val="FirstParagraph"/>
      </w:pPr>
      <w:r>
        <w:t xml:space="preserve">Пакет mathtools загружает amsmath и добавляет несколько дополнительных функций, таких как:</w:t>
      </w:r>
      <w:r>
        <w:t xml:space="preserve"> </w:t>
      </w:r>
      <w:r>
        <w:t xml:space="preserve">варианты матричных окружений amsmath, позволяющие указывать выравнивание столбцов. Пример показан на рисунке</w:t>
      </w:r>
      <w:r>
        <w:t xml:space="preserve"> </w:t>
      </w:r>
      <w:hyperlink w:anchor="fig-015">
        <w:r>
          <w:rPr>
            <w:rStyle w:val="Hyperlink"/>
          </w:rPr>
          <w:t xml:space="preserve">15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5"/>
          <w:p>
            <w:pPr>
              <w:pStyle w:val="Compact"/>
              <w:jc w:val="center"/>
            </w:pPr>
            <w:r>
              <w:drawing>
                <wp:inline>
                  <wp:extent cx="3733800" cy="1176402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fig15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64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pmatrix</w:t>
            </w:r>
          </w:p>
          <w:bookmarkEnd w:id="90"/>
        </w:tc>
      </w:tr>
    </w:tbl>
    <w:bookmarkEnd w:id="91"/>
    <w:bookmarkStart w:id="96" w:name="unicode-math"/>
    <w:p>
      <w:pPr>
        <w:pStyle w:val="Heading2"/>
      </w:pPr>
      <w:r>
        <w:t xml:space="preserve">4.10 Unicode Math</w:t>
      </w:r>
    </w:p>
    <w:p>
      <w:pPr>
        <w:pStyle w:val="FirstParagraph"/>
      </w:pPr>
      <w:r>
        <w:t xml:space="preserve">Существуют варианты TeX-движков, использующих шрифты OpenType. По умолчанию эти движки</w:t>
      </w:r>
      <w:r>
        <w:t xml:space="preserve"> </w:t>
      </w:r>
      <w:r>
        <w:t xml:space="preserve">по-прежнему используют классические математические шрифты TeX, но вы можете использовать пакет unicode-math</w:t>
      </w:r>
      <w:r>
        <w:t xml:space="preserve"> </w:t>
      </w:r>
      <w:r>
        <w:t xml:space="preserve">для использования математических шрифтов OpenType. Подробности об этом пакете выходят за рамки данного курса, и мы</w:t>
      </w:r>
      <w:r>
        <w:t xml:space="preserve"> </w:t>
      </w:r>
      <w:r>
        <w:t xml:space="preserve">отсылаем вас к документации пакета. Однако на рисунке</w:t>
      </w:r>
      <w:r>
        <w:t xml:space="preserve"> </w:t>
      </w:r>
      <w:hyperlink w:anchor="fig-016">
        <w:r>
          <w:rPr>
            <w:rStyle w:val="Hyperlink"/>
          </w:rPr>
          <w:t xml:space="preserve">16</w:t>
        </w:r>
      </w:hyperlink>
      <w:r>
        <w:t xml:space="preserve"> </w:t>
      </w:r>
      <w:r>
        <w:t xml:space="preserve">приведен небольшой пример.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6"/>
          <w:p>
            <w:pPr>
              <w:pStyle w:val="Compact"/>
              <w:jc w:val="center"/>
            </w:pPr>
            <w:r>
              <w:drawing>
                <wp:inline>
                  <wp:extent cx="3733800" cy="1441638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fig16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16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Unicode Math</w:t>
            </w:r>
          </w:p>
          <w:bookmarkEnd w:id="95"/>
        </w:tc>
      </w:tr>
    </w:tbl>
    <w:bookmarkEnd w:id="96"/>
    <w:bookmarkEnd w:id="97"/>
    <w:bookmarkStart w:id="122" w:name="упражнения"/>
    <w:p>
      <w:pPr>
        <w:pStyle w:val="Heading1"/>
      </w:pPr>
      <w:r>
        <w:t xml:space="preserve">5. Упражнения</w:t>
      </w:r>
    </w:p>
    <w:bookmarkStart w:id="102" w:name="переключение-между-режимами"/>
    <w:p>
      <w:pPr>
        <w:pStyle w:val="Heading2"/>
      </w:pPr>
      <w:r>
        <w:t xml:space="preserve">5.1 Переключение между режимами</w:t>
      </w:r>
    </w:p>
    <w:p>
      <w:pPr>
        <w:pStyle w:val="FirstParagraph"/>
      </w:pPr>
      <w:r>
        <w:t xml:space="preserve">Попробуем выполнить несколько простых заданий в режиме работы с математическими выражениями: возьмем примеры и переключимся между встроенным и отображаемым режимами работы с математическими выражениями. В display mode применяется встроенное выравнивание, как показано на рисунке</w:t>
      </w:r>
      <w:r>
        <w:t xml:space="preserve"> </w:t>
      </w:r>
      <w:hyperlink w:anchor="fig-017">
        <w:r>
          <w:rPr>
            <w:rStyle w:val="Hyperlink"/>
          </w:rPr>
          <w:t xml:space="preserve">17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017"/>
          <w:p>
            <w:pPr>
              <w:pStyle w:val="Compact"/>
              <w:jc w:val="center"/>
            </w:pPr>
            <w:r>
              <w:drawing>
                <wp:inline>
                  <wp:extent cx="3733800" cy="1367612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fig17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7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Упражнение 1: переключение режимов</w:t>
            </w:r>
          </w:p>
          <w:bookmarkEnd w:id="101"/>
        </w:tc>
      </w:tr>
    </w:tbl>
    <w:bookmarkEnd w:id="102"/>
    <w:bookmarkStart w:id="107" w:name="греческие-буквы"/>
    <w:p>
      <w:pPr>
        <w:pStyle w:val="Heading2"/>
      </w:pPr>
      <w:r>
        <w:t xml:space="preserve">5.2 Греческие буквы</w:t>
      </w:r>
    </w:p>
    <w:p>
      <w:pPr>
        <w:pStyle w:val="FirstParagraph"/>
      </w:pPr>
      <w:r>
        <w:t xml:space="preserve">Попробуем добавить другие греческие буквы, как строчные, так и заглавные. Результат показан на рисунке</w:t>
      </w:r>
      <w:r>
        <w:t xml:space="preserve"> </w:t>
      </w:r>
      <w:hyperlink w:anchor="fig-018">
        <w:r>
          <w:rPr>
            <w:rStyle w:val="Hyperlink"/>
          </w:rPr>
          <w:t xml:space="preserve">18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018"/>
          <w:p>
            <w:pPr>
              <w:pStyle w:val="Compact"/>
              <w:jc w:val="center"/>
            </w:pPr>
            <w:r>
              <w:drawing>
                <wp:inline>
                  <wp:extent cx="3733800" cy="67003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image/fig18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700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Упражнение 2: греческие буквы</w:t>
            </w:r>
          </w:p>
          <w:bookmarkEnd w:id="106"/>
        </w:tc>
      </w:tr>
    </w:tbl>
    <w:bookmarkEnd w:id="107"/>
    <w:bookmarkStart w:id="112" w:name="вложенность-команд-шрифтов"/>
    <w:p>
      <w:pPr>
        <w:pStyle w:val="Heading2"/>
      </w:pPr>
      <w:r>
        <w:t xml:space="preserve">5.3 Вложенность команд шрифтов</w:t>
      </w:r>
    </w:p>
    <w:p>
      <w:pPr>
        <w:pStyle w:val="FirstParagraph"/>
      </w:pPr>
      <w:r>
        <w:t xml:space="preserve">Поэкспериментируем с командами изменения шрифта: что произойдет, если вы попытаетесь вложить их друг в друга?</w:t>
      </w:r>
      <w:r>
        <w:t xml:space="preserve"> </w:t>
      </w:r>
      <w:r>
        <w:t xml:space="preserve">Как видно из рисунка</w:t>
      </w:r>
      <w:r>
        <w:t xml:space="preserve"> </w:t>
      </w:r>
      <w:hyperlink w:anchor="fig-019">
        <w:r>
          <w:rPr>
            <w:rStyle w:val="Hyperlink"/>
          </w:rPr>
          <w:t xml:space="preserve">19</w:t>
        </w:r>
      </w:hyperlink>
      <w:r>
        <w:t xml:space="preserve">, применится самая вложенная команда.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019"/>
          <w:p>
            <w:pPr>
              <w:pStyle w:val="Compact"/>
              <w:jc w:val="center"/>
            </w:pPr>
            <w:r>
              <w:drawing>
                <wp:inline>
                  <wp:extent cx="3733800" cy="739469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fig19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94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Упражнение 3: вложенность команд</w:t>
            </w:r>
          </w:p>
          <w:bookmarkEnd w:id="111"/>
        </w:tc>
      </w:tr>
    </w:tbl>
    <w:bookmarkEnd w:id="112"/>
    <w:bookmarkStart w:id="121" w:name="выравнивание-уравнений"/>
    <w:p>
      <w:pPr>
        <w:pStyle w:val="Heading2"/>
      </w:pPr>
      <w:r>
        <w:t xml:space="preserve">5.4 Выравнивание уравнений</w:t>
      </w:r>
    </w:p>
    <w:p>
      <w:pPr>
        <w:pStyle w:val="FirstParagraph"/>
      </w:pPr>
      <w:r>
        <w:t xml:space="preserve">Математические формулы по умолчанию центрированы; попробуем добавить параметр класса документа</w:t>
      </w:r>
      <w:r>
        <w:t xml:space="preserve"> </w:t>
      </w:r>
      <w:r>
        <w:rPr>
          <w:rStyle w:val="VerbatimChar"/>
        </w:rPr>
        <w:t xml:space="preserve">[fleqn]</w:t>
      </w:r>
      <w:r>
        <w:t xml:space="preserve"> </w:t>
      </w:r>
      <w:r>
        <w:t xml:space="preserve">(выровнять уравнение по левому краю) к некоторым из приведенных выше примеров,</w:t>
      </w:r>
      <w:r>
        <w:t xml:space="preserve"> </w:t>
      </w:r>
      <w:r>
        <w:t xml:space="preserve">чтобы увидеть другое расположение. Результат показан на рисунке</w:t>
      </w:r>
      <w:r>
        <w:t xml:space="preserve"> </w:t>
      </w:r>
      <w:hyperlink w:anchor="fig-020">
        <w:r>
          <w:rPr>
            <w:rStyle w:val="Hyperlink"/>
          </w:rPr>
          <w:t xml:space="preserve">20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0"/>
          <w:p>
            <w:pPr>
              <w:pStyle w:val="Compact"/>
              <w:jc w:val="center"/>
            </w:pPr>
            <w:r>
              <w:drawing>
                <wp:inline>
                  <wp:extent cx="3733800" cy="799317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fig20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93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Упражнение 4: fleqn</w:t>
            </w:r>
          </w:p>
          <w:bookmarkEnd w:id="116"/>
        </w:tc>
      </w:tr>
    </w:tbl>
    <w:p>
      <w:pPr>
        <w:pStyle w:val="BodyText"/>
      </w:pPr>
      <w:r>
        <w:t xml:space="preserve">Аналогично, номера уравнений обычно располагаются справа.</w:t>
      </w:r>
      <w:r>
        <w:t xml:space="preserve"> </w:t>
      </w:r>
      <w:r>
        <w:t xml:space="preserve">Поэкспериментируем с добавлением параметра класса документа</w:t>
      </w:r>
      <w:r>
        <w:t xml:space="preserve"> </w:t>
      </w:r>
      <w:r>
        <w:rPr>
          <w:rStyle w:val="VerbatimChar"/>
        </w:rPr>
        <w:t xml:space="preserve">[leqno]</w:t>
      </w:r>
      <w:r>
        <w:t xml:space="preserve"> </w:t>
      </w:r>
      <w:r>
        <w:t xml:space="preserve">(номера уравнений слева). Результат показан на рисунке</w:t>
      </w:r>
      <w:r>
        <w:t xml:space="preserve"> </w:t>
      </w:r>
      <w:hyperlink w:anchor="fig-021">
        <w:r>
          <w:rPr>
            <w:rStyle w:val="Hyperlink"/>
          </w:rPr>
          <w:t xml:space="preserve">21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1"/>
          <w:p>
            <w:pPr>
              <w:pStyle w:val="Compact"/>
              <w:jc w:val="center"/>
            </w:pPr>
            <w:r>
              <w:drawing>
                <wp:inline>
                  <wp:extent cx="3733800" cy="507796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fig2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077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Упражнение 5: leqno</w:t>
            </w:r>
          </w:p>
          <w:bookmarkEnd w:id="120"/>
        </w:tc>
      </w:tr>
    </w:tbl>
    <w:bookmarkEnd w:id="121"/>
    <w:bookmarkEnd w:id="122"/>
    <w:bookmarkStart w:id="123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данной работе мы изучили возможности набора математического текста в LaTeX. Освоили:</w:t>
      </w:r>
    </w:p>
    <w:p>
      <w:pPr>
        <w:pStyle w:val="Compact"/>
        <w:numPr>
          <w:ilvl w:val="0"/>
          <w:numId w:val="1004"/>
        </w:numPr>
      </w:pPr>
      <w:r>
        <w:t xml:space="preserve">Два режима математических выражений: встроенный (inline) и отображаемый (display)</w:t>
      </w:r>
    </w:p>
    <w:p>
      <w:pPr>
        <w:pStyle w:val="Compact"/>
        <w:numPr>
          <w:ilvl w:val="0"/>
          <w:numId w:val="1004"/>
        </w:numPr>
      </w:pPr>
      <w:r>
        <w:t xml:space="preserve">Базовый синтаксис математического режима с использованием</w:t>
      </w:r>
      <w:r>
        <w:t xml:space="preserve"> </w:t>
      </w:r>
      <w:r>
        <w:rPr>
          <w:rStyle w:val="VerbatimChar"/>
        </w:rPr>
        <w:t xml:space="preserve">$...$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\[...\]</w:t>
      </w:r>
    </w:p>
    <w:p>
      <w:pPr>
        <w:pStyle w:val="Compact"/>
        <w:numPr>
          <w:ilvl w:val="0"/>
          <w:numId w:val="1004"/>
        </w:numPr>
      </w:pPr>
      <w:r>
        <w:t xml:space="preserve">Команды для верхних и нижних индексов (</w:t>
      </w:r>
      <w:r>
        <w:rPr>
          <w:rStyle w:val="VerbatimChar"/>
        </w:rPr>
        <w:t xml:space="preserve">^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_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Специализированные математические команды (</w:t>
      </w:r>
      <w:r>
        <w:rPr>
          <w:rStyle w:val="VerbatimChar"/>
        </w:rPr>
        <w:t xml:space="preserve">\sin</w:t>
      </w:r>
      <w:r>
        <w:t xml:space="preserve">,</w:t>
      </w:r>
      <w:r>
        <w:t xml:space="preserve"> </w:t>
      </w:r>
      <w:r>
        <w:rPr>
          <w:rStyle w:val="VerbatimChar"/>
        </w:rPr>
        <w:t xml:space="preserve">\log</w:t>
      </w:r>
      <w:r>
        <w:t xml:space="preserve">,</w:t>
      </w:r>
      <w:r>
        <w:t xml:space="preserve"> </w:t>
      </w:r>
      <w:r>
        <w:rPr>
          <w:rStyle w:val="VerbatimChar"/>
        </w:rPr>
        <w:t xml:space="preserve">\theta</w:t>
      </w:r>
      <w:r>
        <w:t xml:space="preserve"> </w:t>
      </w:r>
      <w:r>
        <w:t xml:space="preserve">и др.)</w:t>
      </w:r>
    </w:p>
    <w:p>
      <w:pPr>
        <w:pStyle w:val="Compact"/>
        <w:numPr>
          <w:ilvl w:val="0"/>
          <w:numId w:val="1004"/>
        </w:numPr>
      </w:pPr>
      <w:r>
        <w:t xml:space="preserve">Пакет amsmath и его окружения (</w:t>
      </w:r>
      <w:r>
        <w:rPr>
          <w:rStyle w:val="VerbatimChar"/>
        </w:rPr>
        <w:t xml:space="preserve">align*</w:t>
      </w:r>
      <w:r>
        <w:t xml:space="preserve">,</w:t>
      </w:r>
      <w:r>
        <w:t xml:space="preserve"> </w:t>
      </w:r>
      <w:r>
        <w:rPr>
          <w:rStyle w:val="VerbatimChar"/>
        </w:rPr>
        <w:t xml:space="preserve">gather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multline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Работу с матрицами различных типов</w:t>
      </w:r>
    </w:p>
    <w:p>
      <w:pPr>
        <w:pStyle w:val="Compact"/>
        <w:numPr>
          <w:ilvl w:val="0"/>
          <w:numId w:val="1004"/>
        </w:numPr>
      </w:pPr>
      <w:r>
        <w:t xml:space="preserve">Команды изменения шрифтов в математическом режиме (</w:t>
      </w:r>
      <w:r>
        <w:rPr>
          <w:rStyle w:val="VerbatimChar"/>
        </w:rPr>
        <w:t xml:space="preserve">\mathrm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\mathit</w:t>
      </w:r>
      <w:r>
        <w:t xml:space="preserve"> </w:t>
      </w:r>
      <w:r>
        <w:t xml:space="preserve">и др.)</w:t>
      </w:r>
    </w:p>
    <w:p>
      <w:pPr>
        <w:pStyle w:val="Compact"/>
        <w:numPr>
          <w:ilvl w:val="0"/>
          <w:numId w:val="1004"/>
        </w:numPr>
      </w:pPr>
      <w:r>
        <w:t xml:space="preserve">Нумерацию уравнений и ссылки на них</w:t>
      </w:r>
    </w:p>
    <w:p>
      <w:pPr>
        <w:pStyle w:val="Compact"/>
        <w:numPr>
          <w:ilvl w:val="0"/>
          <w:numId w:val="1004"/>
        </w:numPr>
      </w:pPr>
      <w:r>
        <w:t xml:space="preserve">Дополнительные пакеты: mathtools, bm, unicode-math</w:t>
      </w:r>
    </w:p>
    <w:p>
      <w:pPr>
        <w:pStyle w:val="Compact"/>
        <w:numPr>
          <w:ilvl w:val="0"/>
          <w:numId w:val="1004"/>
        </w:numPr>
      </w:pPr>
      <w:r>
        <w:t xml:space="preserve">Параметры класса документа для изменения выравнивания (</w:t>
      </w:r>
      <w:r>
        <w:rPr>
          <w:rStyle w:val="VerbatimChar"/>
        </w:rPr>
        <w:t xml:space="preserve">fleqn</w:t>
      </w:r>
      <w:r>
        <w:t xml:space="preserve">,</w:t>
      </w:r>
      <w:r>
        <w:t xml:space="preserve"> </w:t>
      </w:r>
      <w:r>
        <w:rPr>
          <w:rStyle w:val="VerbatimChar"/>
        </w:rPr>
        <w:t xml:space="preserve">leqno</w:t>
      </w:r>
      <w:r>
        <w:t xml:space="preserve">)</w:t>
      </w:r>
    </w:p>
    <w:p>
      <w:pPr>
        <w:pStyle w:val="FirstParagraph"/>
      </w:pPr>
      <w:r>
        <w:t xml:space="preserve">Особое внимание было уделено практическим примерам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-</w:t>
      </w:r>
      <w:r>
        <w:t xml:space="preserve"> </w:t>
      </w:r>
      <w:hyperlink w:anchor="fig-021">
        <w:r>
          <w:rPr>
            <w:rStyle w:val="Hyperlink"/>
          </w:rPr>
          <w:t xml:space="preserve">21</w:t>
        </w:r>
      </w:hyperlink>
      <w:r>
        <w:t xml:space="preserve">) и упражнениям, которые помогли закрепить полученные знания.</w:t>
      </w:r>
    </w:p>
    <w:bookmarkEnd w:id="123"/>
    <w:bookmarkStart w:id="127" w:name="список-литературы"/>
    <w:p>
      <w:pPr>
        <w:pStyle w:val="Heading1"/>
      </w:pPr>
      <w:r>
        <w:t xml:space="preserve">Список литературы</w:t>
      </w:r>
    </w:p>
    <w:bookmarkStart w:id="126" w:name="refs"/>
    <w:bookmarkStart w:id="124" w:name="ref-kotelnikov_chebotaev_book_latex2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Котельников А.А., Чеботаев А.С.</w:t>
      </w:r>
      <w:r>
        <w:t xml:space="preserve"> </w:t>
      </w:r>
      <w:r>
        <w:t xml:space="preserve">LaTeX2 по-русски</w:t>
      </w:r>
      <w:r>
        <w:t xml:space="preserve">. 3-е изд. Новосибирск: Новосибирск, 2004. 496 с.</w:t>
      </w:r>
    </w:p>
    <w:bookmarkEnd w:id="124"/>
    <w:bookmarkStart w:id="125" w:name="ref-lvovsky_book_latex_ru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Львовский С.М.</w:t>
      </w:r>
      <w:r>
        <w:t xml:space="preserve"> </w:t>
      </w:r>
      <w:r>
        <w:t xml:space="preserve">Набор и вёрстка в системе LaTeX</w:t>
      </w:r>
      <w:r>
        <w:t xml:space="preserve">. 3-е изд., испр. и доп. МЦНМО, 2003. 447 с.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8" Target="media/rId98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7" Target="media/rId1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№3</dc:title>
  <dc:creator>Абрамян Артём Арменович</dc:creator>
  <dc:language>ru-RU</dc:language>
  <cp:keywords/>
  <dcterms:created xsi:type="dcterms:W3CDTF">2026-03-13T14:08:51Z</dcterms:created>
  <dcterms:modified xsi:type="dcterms:W3CDTF">2026-03-13T14:08:51Z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Работа с математикой в LaTeX</vt:lpwstr>
  </property>
  <property fmtid="{D5CDD505-2E9C-101B-9397-08002B2CF9AE}" pid="16" name="toc-title">
    <vt:lpwstr>Содержание</vt:lpwstr>
  </property>
</Properties>
</file>