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Работа с графикой в LaTeX</w:t>
      </w:r>
    </w:p>
    <w:p>
      <w:pPr>
        <w:pStyle w:val="Author"/>
      </w:pPr>
      <w:r>
        <w:t xml:space="preserve">Абрамян Артём Арменович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изучить возможности включения и манипулирования графикой в LaTeX, освоить различные способы позиционирования изображений, научиться работать с перекрестными ссылками.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следующие задания:</w:t>
      </w:r>
    </w:p>
    <w:p>
      <w:pPr>
        <w:pStyle w:val="Compact"/>
        <w:numPr>
          <w:ilvl w:val="0"/>
          <w:numId w:val="1001"/>
        </w:numPr>
      </w:pPr>
      <w:r>
        <w:t xml:space="preserve">Попробовать включить собственное изображение, заменив стандартные примеры.</w:t>
      </w:r>
    </w:p>
    <w:p>
      <w:pPr>
        <w:pStyle w:val="Compact"/>
        <w:numPr>
          <w:ilvl w:val="0"/>
          <w:numId w:val="1001"/>
        </w:numPr>
      </w:pPr>
      <w:r>
        <w:t xml:space="preserve">Исследовать возможности параметров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Использовать параметр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для установки размера графики относительно</w:t>
      </w:r>
      <w:r>
        <w:t xml:space="preserve"> </w:t>
      </w:r>
      <w:r>
        <w:rPr>
          <w:rStyle w:val="VerbatimChar"/>
        </w:rPr>
        <w:t xml:space="preserve">textwidth</w:t>
      </w:r>
      <w:r>
        <w:t xml:space="preserve"> </w:t>
      </w:r>
      <w:r>
        <w:t xml:space="preserve">и другой графики относительно</w:t>
      </w:r>
      <w:r>
        <w:t xml:space="preserve"> </w:t>
      </w:r>
      <w:r>
        <w:rPr>
          <w:rStyle w:val="VerbatimChar"/>
        </w:rPr>
        <w:t xml:space="preserve">linewidth</w:t>
      </w:r>
      <w:r>
        <w:t xml:space="preserve">. Протестировать их поведение с опцией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 </w:t>
      </w:r>
      <w:r>
        <w:t xml:space="preserve">и без нее.</w:t>
      </w:r>
    </w:p>
    <w:p>
      <w:pPr>
        <w:pStyle w:val="Compact"/>
        <w:numPr>
          <w:ilvl w:val="0"/>
          <w:numId w:val="1001"/>
        </w:numPr>
      </w:pPr>
      <w:r>
        <w:t xml:space="preserve">Создать демонстрацию с использованием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 </w:t>
      </w:r>
      <w:r>
        <w:t xml:space="preserve">и попробовать различные спецификаторы позиционирования флоатов. Изучить, как различные спецификаторы взаимодействуют друг с другом.</w:t>
      </w:r>
    </w:p>
    <w:p>
      <w:pPr>
        <w:pStyle w:val="Compact"/>
        <w:numPr>
          <w:ilvl w:val="0"/>
          <w:numId w:val="1001"/>
        </w:numPr>
      </w:pPr>
      <w:r>
        <w:t xml:space="preserve">Добавить новые нумерованные части (разделы, подразделы, нумерованные списки) в тестовый документ и определить, сколько компиляций необходимо для корректной работы команд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Добавить флоаты и проверить, что происходит при размещении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вместо после; предсказать результат.</w:t>
      </w:r>
    </w:p>
    <w:p>
      <w:pPr>
        <w:pStyle w:val="Compact"/>
        <w:numPr>
          <w:ilvl w:val="0"/>
          <w:numId w:val="1001"/>
        </w:numPr>
      </w:pPr>
      <w:r>
        <w:t xml:space="preserve">Выяснить, что происходит при размещении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для уравнения после</w:t>
      </w:r>
      <w:r>
        <w:t xml:space="preserve"> </w:t>
      </w:r>
      <w:r>
        <w:rPr>
          <w:rStyle w:val="VerbatimChar"/>
        </w:rPr>
        <w:t xml:space="preserve">end equation</w:t>
      </w:r>
      <w:r>
        <w:t xml:space="preserve">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Для включения графики в LaTeX используется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который добавляет команду</w:t>
      </w:r>
      <w:r>
        <w:t xml:space="preserve"> </w:t>
      </w:r>
      <w:r>
        <w:rPr>
          <w:rStyle w:val="VerbatimChar"/>
        </w:rPr>
        <w:t xml:space="preserve">includegraphics</w:t>
      </w:r>
      <w:r>
        <w:t xml:space="preserve">. Этот пакет поддерживает различные форматы изображений: EPS, PNG, JPG и PDF.</w:t>
      </w:r>
    </w:p>
    <w:p>
      <w:pPr>
        <w:pStyle w:val="BodyText"/>
      </w:pPr>
      <w:r>
        <w:t xml:space="preserve">Изображения в LaTeX обычно включаются как плавающие объекты (floats), чтобы избежать больших пустых промежутков на странице. Для управления позиционированием используются спецификаторы: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—</w:t>
      </w:r>
      <w:r>
        <w:t xml:space="preserve"> </w:t>
      </w:r>
      <w:r>
        <w:t xml:space="preserve">‘Here’</w:t>
      </w:r>
      <w:r>
        <w:t xml:space="preserve"> </w:t>
      </w:r>
      <w:r>
        <w:t xml:space="preserve">(здесь, если возможно)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Top (верх страницы)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— Bottom (низ страницы)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— Page (отдельная страница только для флоатов)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— абсолютное позиционирование (требует 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</w:t>
      </w:r>
    </w:p>
    <w:p>
      <w:pPr>
        <w:pStyle w:val="FirstParagraph"/>
      </w:pPr>
      <w:r>
        <w:t xml:space="preserve">Система перекрестных ссылок в LaTeX работает с помощью команд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ref</w:t>
      </w:r>
      <w:r>
        <w:t xml:space="preserve">. Для корректной работы требуется минимум две компиляции документа.</w:t>
      </w:r>
    </w:p>
    <w:p>
      <w:pPr>
        <w:pStyle w:val="BodyText"/>
      </w:pPr>
      <w:r>
        <w:t xml:space="preserve">Более подробно про работу с графикой в LaTeX см. в</w:t>
      </w:r>
      <w:r>
        <w:t xml:space="preserve"> </w:t>
      </w:r>
      <w:r>
        <w:t xml:space="preserve">[1,2]</w:t>
      </w:r>
      <w:r>
        <w:t xml:space="preserve">.</w:t>
      </w:r>
    </w:p>
    <w:bookmarkEnd w:id="22"/>
    <w:bookmarkStart w:id="10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базовое-включение-графики"/>
    <w:p>
      <w:pPr>
        <w:pStyle w:val="Heading2"/>
      </w:pPr>
      <w:r>
        <w:t xml:space="preserve">4.1 Базовое включение графики</w:t>
      </w:r>
    </w:p>
    <w:p>
      <w:pPr>
        <w:pStyle w:val="FirstParagraph"/>
      </w:pPr>
      <w:r>
        <w:t xml:space="preserve">Начнем работу с базового включения изображений в документ. Для этого используется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и команда</w:t>
      </w:r>
      <w:r>
        <w:t xml:space="preserve"> </w:t>
      </w:r>
      <w:r>
        <w:rPr>
          <w:rStyle w:val="VerbatimChar"/>
        </w:rPr>
        <w:t xml:space="preserve">includegraphics</w:t>
      </w:r>
      <w:r>
        <w:t xml:space="preserve">. На рисунке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показан простейший пример включения изображения в документ.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75613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fig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6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Базовый пример включения изображения</w:t>
            </w:r>
          </w:p>
          <w:bookmarkEnd w:id="26"/>
        </w:tc>
      </w:tr>
    </w:tbl>
    <w:bookmarkEnd w:id="27"/>
    <w:bookmarkStart w:id="48" w:name="манипулирование-размерами-графики"/>
    <w:p>
      <w:pPr>
        <w:pStyle w:val="Heading2"/>
      </w:pPr>
      <w:r>
        <w:t xml:space="preserve">4.2 Манипулирование размерами графики</w:t>
      </w:r>
    </w:p>
    <w:bookmarkStart w:id="32" w:name="параметр-width"/>
    <w:p>
      <w:pPr>
        <w:pStyle w:val="Heading3"/>
      </w:pPr>
      <w:r>
        <w:t xml:space="preserve">4.2.1 Параметр width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позволяет задать ширину изображения. Можно использовать как абсолютные значения (например, 5cm), так и относительные (например, 0.5 от ширины текста). На рисунке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показан пример использования параметра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23290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fig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Изображение с параметром width</w:t>
            </w:r>
          </w:p>
          <w:bookmarkEnd w:id="31"/>
        </w:tc>
      </w:tr>
    </w:tbl>
    <w:bookmarkEnd w:id="32"/>
    <w:bookmarkStart w:id="37" w:name="параметр-height"/>
    <w:p>
      <w:pPr>
        <w:pStyle w:val="Heading3"/>
      </w:pPr>
      <w:r>
        <w:t xml:space="preserve">4.2.2 Параметр height</w:t>
      </w:r>
    </w:p>
    <w:p>
      <w:pPr>
        <w:pStyle w:val="FirstParagraph"/>
      </w:pPr>
      <w:r>
        <w:t xml:space="preserve">Аналогично ширине, можно задать высоту изображения с помощью параметра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. LaTeX автоматически сохраняет пропорции изображения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33520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fig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Изображение с параметром height</w:t>
            </w:r>
          </w:p>
          <w:bookmarkEnd w:id="36"/>
        </w:tc>
      </w:tr>
    </w:tbl>
    <w:bookmarkEnd w:id="37"/>
    <w:bookmarkStart w:id="42" w:name="параметр-scale"/>
    <w:p>
      <w:pPr>
        <w:pStyle w:val="Heading3"/>
      </w:pPr>
      <w:r>
        <w:t xml:space="preserve">4.2.3 Параметр scale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позволяет масштабировать изображение пропорционально. Например,</w:t>
      </w:r>
      <w:r>
        <w:t xml:space="preserve"> </w:t>
      </w:r>
      <w:r>
        <w:rPr>
          <w:rStyle w:val="VerbatimChar"/>
        </w:rPr>
        <w:t xml:space="preserve">scale=0.5</w:t>
      </w:r>
      <w:r>
        <w:t xml:space="preserve"> </w:t>
      </w:r>
      <w:r>
        <w:t xml:space="preserve">уменьшит изображение в два раза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36711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fig0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Использование параметра scale</w:t>
            </w:r>
          </w:p>
          <w:bookmarkEnd w:id="41"/>
        </w:tc>
      </w:tr>
    </w:tbl>
    <w:bookmarkEnd w:id="42"/>
    <w:bookmarkStart w:id="47" w:name="поворот-изображения"/>
    <w:p>
      <w:pPr>
        <w:pStyle w:val="Heading3"/>
      </w:pPr>
      <w:r>
        <w:t xml:space="preserve">4.2.4 Поворот изображения</w:t>
      </w:r>
    </w:p>
    <w:p>
      <w:pPr>
        <w:pStyle w:val="FirstParagraph"/>
      </w:pPr>
      <w:r>
        <w:t xml:space="preserve">С помощью параметра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можно повернуть изображение на заданный угол в градусах. На рисунке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показан пример поворота изображения на 45 градусов.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25646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fig0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Поворот изображения с помощью angle</w:t>
            </w:r>
          </w:p>
          <w:bookmarkEnd w:id="46"/>
        </w:tc>
      </w:tr>
    </w:tbl>
    <w:bookmarkEnd w:id="47"/>
    <w:bookmarkEnd w:id="48"/>
    <w:bookmarkStart w:id="57" w:name="разница-между-textwidth-и-linewidth"/>
    <w:p>
      <w:pPr>
        <w:pStyle w:val="Heading2"/>
      </w:pPr>
      <w:r>
        <w:t xml:space="preserve">4.3 Разница между textwidth и linewidth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textwidth</w:t>
      </w:r>
      <w:r>
        <w:t xml:space="preserve"> </w:t>
      </w:r>
      <w:r>
        <w:t xml:space="preserve">— это ширина текстового блока на физической странице, тогда как</w:t>
      </w:r>
      <w:r>
        <w:t xml:space="preserve"> </w:t>
      </w:r>
      <w:r>
        <w:rPr>
          <w:rStyle w:val="VerbatimChar"/>
        </w:rPr>
        <w:t xml:space="preserve">linewidth</w:t>
      </w:r>
      <w:r>
        <w:t xml:space="preserve"> </w:t>
      </w:r>
      <w:r>
        <w:t xml:space="preserve">— это текущая ширина, которая может локально отличаться. На рисунке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показан пример использования</w:t>
      </w:r>
      <w:r>
        <w:t xml:space="preserve"> </w:t>
      </w:r>
      <w:r>
        <w:rPr>
          <w:rStyle w:val="VerbatimChar"/>
        </w:rPr>
        <w:t xml:space="preserve">textwidth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3733800" cy="26186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0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Пример с textwidth</w:t>
            </w:r>
          </w:p>
          <w:bookmarkEnd w:id="52"/>
        </w:tc>
      </w:tr>
    </w:tbl>
    <w:p>
      <w:pPr>
        <w:pStyle w:val="BodyText"/>
      </w:pPr>
      <w:r>
        <w:t xml:space="preserve">Разница наиболее заметна при использовании опции класса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. В режиме двух колонок</w:t>
      </w:r>
      <w:r>
        <w:t xml:space="preserve"> </w:t>
      </w:r>
      <w:r>
        <w:rPr>
          <w:rStyle w:val="VerbatimChar"/>
        </w:rPr>
        <w:t xml:space="preserve">linewidth</w:t>
      </w:r>
      <w:r>
        <w:t xml:space="preserve"> </w:t>
      </w:r>
      <w:r>
        <w:t xml:space="preserve">адаптируется к ширине колонки, а</w:t>
      </w:r>
      <w:r>
        <w:t xml:space="preserve"> </w:t>
      </w:r>
      <w:r>
        <w:rPr>
          <w:rStyle w:val="VerbatimChar"/>
        </w:rPr>
        <w:t xml:space="preserve">textwidth</w:t>
      </w:r>
      <w:r>
        <w:t xml:space="preserve"> </w:t>
      </w:r>
      <w:r>
        <w:t xml:space="preserve">всегда относится к полной ширине страницы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r>
              <w:drawing>
                <wp:inline>
                  <wp:extent cx="3733800" cy="48549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fig0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Демонстрация разницы в режиме twocolumn</w:t>
            </w:r>
          </w:p>
          <w:bookmarkEnd w:id="56"/>
        </w:tc>
      </w:tr>
    </w:tbl>
    <w:p>
      <w:pPr>
        <w:pStyle w:val="BodyText"/>
      </w:pPr>
      <w:r>
        <w:t xml:space="preserve">В обычном однокалоночном режиме эти значения одинаковы, но в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 </w:t>
      </w:r>
      <w:r>
        <w:t xml:space="preserve">изображение с</w:t>
      </w:r>
      <w:r>
        <w:t xml:space="preserve"> </w:t>
      </w:r>
      <w:r>
        <w:rPr>
          <w:rStyle w:val="VerbatimChar"/>
        </w:rPr>
        <w:t xml:space="preserve">width=0.5linewidth</w:t>
      </w:r>
      <w:r>
        <w:t xml:space="preserve"> </w:t>
      </w:r>
      <w:r>
        <w:t xml:space="preserve">будет занимать половину ширины колонки, а с</w:t>
      </w:r>
      <w:r>
        <w:t xml:space="preserve"> </w:t>
      </w:r>
      <w:r>
        <w:rPr>
          <w:rStyle w:val="VerbatimChar"/>
        </w:rPr>
        <w:t xml:space="preserve">width=0.5textwidth</w:t>
      </w:r>
      <w:r>
        <w:t xml:space="preserve"> </w:t>
      </w:r>
      <w:r>
        <w:t xml:space="preserve">— половину всей страницы.</w:t>
      </w:r>
    </w:p>
    <w:bookmarkEnd w:id="57"/>
    <w:bookmarkStart w:id="72" w:name="позиционирование-флоатов"/>
    <w:p>
      <w:pPr>
        <w:pStyle w:val="Heading2"/>
      </w:pPr>
      <w:r>
        <w:t xml:space="preserve">4.4 Позиционирование флоатов</w:t>
      </w:r>
    </w:p>
    <w:bookmarkStart w:id="62" w:name="спецификаторы-позиции"/>
    <w:p>
      <w:pPr>
        <w:pStyle w:val="Heading3"/>
      </w:pPr>
      <w:r>
        <w:t xml:space="preserve">4.4.1 Спецификаторы позиции</w:t>
      </w:r>
    </w:p>
    <w:p>
      <w:pPr>
        <w:pStyle w:val="FirstParagraph"/>
      </w:pPr>
      <w:r>
        <w:t xml:space="preserve">Можно использовать различные спецификаторы позиции для управления размещением изображений. На рисунке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показан пример кода с различными спецификаторами.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8"/>
          <w:p>
            <w:pPr>
              <w:pStyle w:val="Compact"/>
              <w:jc w:val="center"/>
            </w:pPr>
            <w:r>
              <w:drawing>
                <wp:inline>
                  <wp:extent cx="3733800" cy="54285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fig0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Пример с различными спецификаторами позиции</w:t>
            </w:r>
          </w:p>
          <w:bookmarkEnd w:id="61"/>
        </w:tc>
      </w:tr>
    </w:tbl>
    <w:bookmarkEnd w:id="62"/>
    <w:bookmarkStart w:id="71" w:name="использование-пакета-float"/>
    <w:p>
      <w:pPr>
        <w:pStyle w:val="Heading3"/>
      </w:pPr>
      <w:r>
        <w:t xml:space="preserve">4.4.2 Использование пакета float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добавляет спецификатор</w:t>
      </w:r>
      <w:r>
        <w:t xml:space="preserve"> </w:t>
      </w:r>
      <w:r>
        <w:rPr>
          <w:rStyle w:val="VerbatimChar"/>
        </w:rPr>
        <w:t xml:space="preserve">H</w:t>
      </w:r>
      <w:r>
        <w:t xml:space="preserve">, который размещает изображение точно в месте его определения в коде. Это показано на рисунке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9"/>
          <w:p>
            <w:pPr>
              <w:pStyle w:val="Compact"/>
              <w:jc w:val="center"/>
            </w:pPr>
            <w:r>
              <w:drawing>
                <wp:inline>
                  <wp:extent cx="3733800" cy="134883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fig0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8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Использование спецификатора H</w:t>
            </w:r>
          </w:p>
          <w:bookmarkEnd w:id="66"/>
        </w:tc>
      </w:tr>
    </w:tbl>
    <w:p>
      <w:pPr>
        <w:pStyle w:val="BodyText"/>
      </w:pPr>
      <w:r>
        <w:t xml:space="preserve">Результат компиляции с различными флоатами можно увидеть на рисунке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r>
              <w:drawing>
                <wp:inline>
                  <wp:extent cx="3733800" cy="134883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fig10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8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компиляции с флоатами</w:t>
            </w:r>
          </w:p>
          <w:bookmarkEnd w:id="70"/>
        </w:tc>
      </w:tr>
    </w:tbl>
    <w:bookmarkEnd w:id="71"/>
    <w:bookmarkEnd w:id="72"/>
    <w:bookmarkStart w:id="102" w:name="перекрестные-ссылки"/>
    <w:p>
      <w:pPr>
        <w:pStyle w:val="Heading2"/>
      </w:pPr>
      <w:r>
        <w:t xml:space="preserve">4.5 Перекрестные ссылки</w:t>
      </w:r>
    </w:p>
    <w:bookmarkStart w:id="77" w:name="механизм-label-и-ref"/>
    <w:p>
      <w:pPr>
        <w:pStyle w:val="Heading3"/>
      </w:pPr>
      <w:r>
        <w:t xml:space="preserve">4.5.1 Механизм label и ref</w:t>
      </w:r>
    </w:p>
    <w:p>
      <w:pPr>
        <w:pStyle w:val="FirstParagraph"/>
      </w:pPr>
      <w:r>
        <w:t xml:space="preserve">Для автоматической нумерации элементов используется механизм меток. На рисунке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показаны примеры использования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1"/>
          <w:p>
            <w:pPr>
              <w:pStyle w:val="Compact"/>
              <w:jc w:val="center"/>
            </w:pPr>
            <w:r>
              <w:drawing>
                <wp:inline>
                  <wp:extent cx="3733800" cy="49227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fig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Примеры label и ref</w:t>
            </w:r>
          </w:p>
          <w:bookmarkEnd w:id="76"/>
        </w:tc>
      </w:tr>
    </w:tbl>
    <w:bookmarkEnd w:id="77"/>
    <w:bookmarkStart w:id="82" w:name="правильное-размещение-label"/>
    <w:p>
      <w:pPr>
        <w:pStyle w:val="Heading3"/>
      </w:pPr>
      <w:r>
        <w:t xml:space="preserve">4.5.2 Правильное размещение label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всегда ссылается на предыдущую нумерованную сущность. Для флоатов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должна идти после команды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. Правильный пример показан на рисунке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2"/>
          <w:p>
            <w:pPr>
              <w:pStyle w:val="Compact"/>
              <w:jc w:val="center"/>
            </w:pPr>
            <w:r>
              <w:drawing>
                <wp:inline>
                  <wp:extent cx="3733800" cy="28611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fig12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Правильное размещение метки</w:t>
            </w:r>
          </w:p>
          <w:bookmarkEnd w:id="81"/>
        </w:tc>
      </w:tr>
    </w:tbl>
    <w:bookmarkEnd w:id="82"/>
    <w:bookmarkStart w:id="87" w:name="неправильное-размещение-метки"/>
    <w:p>
      <w:pPr>
        <w:pStyle w:val="Heading3"/>
      </w:pPr>
      <w:r>
        <w:t xml:space="preserve">4.5.3 Неправильное размещение метки</w:t>
      </w:r>
    </w:p>
    <w:p>
      <w:pPr>
        <w:pStyle w:val="FirstParagraph"/>
      </w:pPr>
      <w:r>
        <w:t xml:space="preserve">Если поместить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перед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, метка будет ссылаться на номер секции, а не на номер рисунка. Это демонстрируется на рисунке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3"/>
          <w:p>
            <w:pPr>
              <w:pStyle w:val="Compact"/>
              <w:jc w:val="center"/>
            </w:pPr>
            <w:r>
              <w:drawing>
                <wp:inline>
                  <wp:extent cx="3733800" cy="47694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fig1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Неправильное размещение метки</w:t>
            </w:r>
          </w:p>
          <w:bookmarkEnd w:id="86"/>
        </w:tc>
      </w:tr>
    </w:tbl>
    <w:p>
      <w:pPr>
        <w:pStyle w:val="BodyText"/>
      </w:pPr>
      <w:r>
        <w:t xml:space="preserve">При неправильном размещении ссылка указывает на неверный номер.</w:t>
      </w:r>
    </w:p>
    <w:bookmarkEnd w:id="87"/>
    <w:bookmarkStart w:id="92" w:name="метки-для-уравнений"/>
    <w:p>
      <w:pPr>
        <w:pStyle w:val="Heading3"/>
      </w:pPr>
      <w:r>
        <w:t xml:space="preserve">4.5.4 Метки для уравнений</w:t>
      </w:r>
    </w:p>
    <w:p>
      <w:pPr>
        <w:pStyle w:val="FirstParagraph"/>
      </w:pPr>
      <w:r>
        <w:t xml:space="preserve">Для уравнений метка должна находиться внутри окружения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, до команды закрывающей окружение. На рисунке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показаны правильный и неправильный примеры.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4"/>
          <w:p>
            <w:pPr>
              <w:pStyle w:val="Compact"/>
              <w:jc w:val="center"/>
            </w:pPr>
            <w:r>
              <w:drawing>
                <wp:inline>
                  <wp:extent cx="3529711" cy="276238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fig14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9711" cy="2762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Метки для уравнений</w:t>
            </w:r>
          </w:p>
          <w:bookmarkEnd w:id="91"/>
        </w:tc>
      </w:tr>
    </w:tbl>
    <w:p>
      <w:pPr>
        <w:pStyle w:val="BodyText"/>
      </w:pPr>
      <w:r>
        <w:t xml:space="preserve">Если метка размещена после закрытия окружения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, она будет ссылаться на номер раздела, а не на номер уравнения.</w:t>
      </w:r>
    </w:p>
    <w:bookmarkEnd w:id="92"/>
    <w:bookmarkStart w:id="101" w:name="количество-компиляций"/>
    <w:p>
      <w:pPr>
        <w:pStyle w:val="Heading3"/>
      </w:pPr>
      <w:r>
        <w:t xml:space="preserve">4.5.5 Количество компиляций</w:t>
      </w:r>
    </w:p>
    <w:p>
      <w:pPr>
        <w:pStyle w:val="FirstParagraph"/>
      </w:pPr>
      <w:r>
        <w:t xml:space="preserve">Из-за использования вспомогательного файла первая компиляция документа может показать вопросительные знаки вместо номеров ссылок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5"/>
          <w:p>
            <w:pPr>
              <w:pStyle w:val="Compact"/>
              <w:jc w:val="center"/>
            </w:pPr>
            <w:r>
              <w:drawing>
                <wp:inline>
                  <wp:extent cx="3733800" cy="38054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fig15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Первая компиляция с вопросительными знаками</w:t>
            </w:r>
          </w:p>
          <w:bookmarkEnd w:id="96"/>
        </w:tc>
      </w:tr>
    </w:tbl>
    <w:p>
      <w:pPr>
        <w:pStyle w:val="BodyText"/>
      </w:pPr>
      <w:r>
        <w:t xml:space="preserve">После второй компиляции все ссылки становятся правильными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6"/>
          <w:p>
            <w:pPr>
              <w:pStyle w:val="Compact"/>
              <w:jc w:val="center"/>
            </w:pPr>
            <w:r>
              <w:drawing>
                <wp:inline>
                  <wp:extent cx="3733800" cy="107773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fig16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7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Вторая компиляция с правильными номерами</w:t>
            </w:r>
          </w:p>
          <w:bookmarkEnd w:id="100"/>
        </w:tc>
      </w:tr>
    </w:tbl>
    <w:bookmarkEnd w:id="101"/>
    <w:bookmarkEnd w:id="102"/>
    <w:bookmarkStart w:id="107" w:name="использование-пакета-hyperref"/>
    <w:p>
      <w:pPr>
        <w:pStyle w:val="Heading2"/>
      </w:pPr>
      <w:r>
        <w:t xml:space="preserve">4.6 Использование пакета hyperref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позволяет превратить перекрестные ссылки в гиперссылки. На рисунке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 </w:t>
      </w:r>
      <w:r>
        <w:t xml:space="preserve">показан пример подключения пакета.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7"/>
          <w:p>
            <w:pPr>
              <w:pStyle w:val="Compact"/>
              <w:jc w:val="center"/>
            </w:pPr>
            <w:r>
              <w:drawing>
                <wp:inline>
                  <wp:extent cx="3733800" cy="49917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fig17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9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Подключение пакета hyperref</w:t>
            </w:r>
          </w:p>
          <w:bookmarkEnd w:id="106"/>
        </w:tc>
      </w:tr>
    </w:tbl>
    <w:p>
      <w:pPr>
        <w:pStyle w:val="BodyText"/>
      </w:pPr>
      <w:r>
        <w:t xml:space="preserve">С опцией</w:t>
      </w:r>
      <w:r>
        <w:t xml:space="preserve"> </w:t>
      </w:r>
      <w:r>
        <w:rPr>
          <w:rStyle w:val="VerbatimChar"/>
        </w:rPr>
        <w:t xml:space="preserve">hidelinks</w:t>
      </w:r>
      <w:r>
        <w:t xml:space="preserve"> </w:t>
      </w:r>
      <w:r>
        <w:t xml:space="preserve">ссылки имеют тот же цвет, что и обычный текст, но остаются кликабельными в PDF.</w:t>
      </w:r>
    </w:p>
    <w:bookmarkEnd w:id="107"/>
    <w:bookmarkEnd w:id="108"/>
    <w:bookmarkStart w:id="10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работы мы изучили продвинутые возможности работы с графикой в LaTeX. Освоили:</w:t>
      </w:r>
    </w:p>
    <w:p>
      <w:pPr>
        <w:pStyle w:val="Compact"/>
        <w:numPr>
          <w:ilvl w:val="0"/>
          <w:numId w:val="1003"/>
        </w:numPr>
      </w:pPr>
      <w:r>
        <w:t xml:space="preserve">Базовое включение графики с помощью пакета</w:t>
      </w:r>
      <w:r>
        <w:t xml:space="preserve"> </w:t>
      </w:r>
      <w:r>
        <w:rPr>
          <w:rStyle w:val="VerbatimChar"/>
        </w:rPr>
        <w:t xml:space="preserve">graphicx</w:t>
      </w:r>
    </w:p>
    <w:p>
      <w:pPr>
        <w:pStyle w:val="Compact"/>
        <w:numPr>
          <w:ilvl w:val="0"/>
          <w:numId w:val="1003"/>
        </w:numPr>
      </w:pPr>
      <w:r>
        <w:t xml:space="preserve">Манипулирование размерами изображений с помощью параметров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angle</w:t>
      </w:r>
    </w:p>
    <w:p>
      <w:pPr>
        <w:pStyle w:val="Compact"/>
        <w:numPr>
          <w:ilvl w:val="0"/>
          <w:numId w:val="1003"/>
        </w:numPr>
      </w:pPr>
      <w:r>
        <w:t xml:space="preserve">Разницу между</w:t>
      </w:r>
      <w:r>
        <w:t xml:space="preserve"> </w:t>
      </w:r>
      <w:r>
        <w:rPr>
          <w:rStyle w:val="VerbatimChar"/>
        </w:rPr>
        <w:t xml:space="preserve">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linewidth</w:t>
      </w:r>
      <w:r>
        <w:t xml:space="preserve">, особенно в режиме</w:t>
      </w:r>
      <w:r>
        <w:t xml:space="preserve"> </w:t>
      </w:r>
      <w:r>
        <w:rPr>
          <w:rStyle w:val="VerbatimChar"/>
        </w:rPr>
        <w:t xml:space="preserve">twocolumn</w:t>
      </w:r>
    </w:p>
    <w:p>
      <w:pPr>
        <w:pStyle w:val="Compact"/>
        <w:numPr>
          <w:ilvl w:val="0"/>
          <w:numId w:val="1003"/>
        </w:numPr>
      </w:pPr>
      <w:r>
        <w:t xml:space="preserve">Различные спецификаторы позиционирования флоатов (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Правильное использование системы перекрестных ссылок с помощью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ref</w:t>
      </w:r>
    </w:p>
    <w:p>
      <w:pPr>
        <w:pStyle w:val="Compact"/>
        <w:numPr>
          <w:ilvl w:val="0"/>
          <w:numId w:val="1003"/>
        </w:numPr>
      </w:pPr>
      <w:r>
        <w:t xml:space="preserve">Важность правильного размещения меток (после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для флоатов, внутри окружения для уравнений)</w:t>
      </w:r>
    </w:p>
    <w:p>
      <w:pPr>
        <w:pStyle w:val="Compact"/>
        <w:numPr>
          <w:ilvl w:val="0"/>
          <w:numId w:val="1003"/>
        </w:numPr>
      </w:pPr>
      <w:r>
        <w:t xml:space="preserve">Необходимость минимум двух компиляций для корректной работы перекрестных ссылок</w:t>
      </w:r>
    </w:p>
    <w:p>
      <w:pPr>
        <w:pStyle w:val="Compact"/>
        <w:numPr>
          <w:ilvl w:val="0"/>
          <w:numId w:val="1003"/>
        </w:numPr>
      </w:pPr>
      <w:r>
        <w:t xml:space="preserve">Создание кликабельных гиперссылок с помощью пакета</w:t>
      </w:r>
      <w:r>
        <w:t xml:space="preserve"> </w:t>
      </w:r>
      <w:r>
        <w:rPr>
          <w:rStyle w:val="VerbatimChar"/>
        </w:rPr>
        <w:t xml:space="preserve">hyperref</w:t>
      </w:r>
    </w:p>
    <w:p>
      <w:pPr>
        <w:pStyle w:val="FirstParagraph"/>
      </w:pPr>
      <w:r>
        <w:t xml:space="preserve">Особое внимание было уделено распространенным ошибкам при размещении меток и способам их избежания.</w:t>
      </w:r>
    </w:p>
    <w:bookmarkEnd w:id="109"/>
    <w:bookmarkStart w:id="113" w:name="список-литературы"/>
    <w:p>
      <w:pPr>
        <w:pStyle w:val="Heading1"/>
      </w:pPr>
      <w:r>
        <w:t xml:space="preserve">Список литературы</w:t>
      </w:r>
    </w:p>
    <w:bookmarkStart w:id="112" w:name="refs"/>
    <w:bookmarkStart w:id="110" w:name="ref-kotelnikov_chebotaev_book_latex2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Котельников А.А., Чеботаев А.С.</w:t>
      </w:r>
      <w:r>
        <w:t xml:space="preserve"> </w:t>
      </w:r>
      <w:r>
        <w:t xml:space="preserve">LaTeX2 по-русски</w:t>
      </w:r>
      <w:r>
        <w:t xml:space="preserve">. 3-е изд. Новосибирск: Новосибирск, 2004. 496 с.</w:t>
      </w:r>
    </w:p>
    <w:bookmarkEnd w:id="110"/>
    <w:bookmarkStart w:id="111" w:name="ref-lvovsky_book_latex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Львовский С.М.</w:t>
      </w:r>
      <w:r>
        <w:t xml:space="preserve"> </w:t>
      </w:r>
      <w:r>
        <w:t xml:space="preserve">Набор и вёрстка в системе LaTeX</w:t>
      </w:r>
      <w:r>
        <w:t xml:space="preserve">. 3-е изд., испр. и доп. МЦНМО, 2003. 447 с.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3" Target="media/rId10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Абрамян Артём Арменович</dc:creator>
  <dc:language>ru-RU</dc:language>
  <cp:keywords/>
  <dcterms:created xsi:type="dcterms:W3CDTF">2026-03-13T18:34:19Z</dcterms:created>
  <dcterms:modified xsi:type="dcterms:W3CDTF">2026-03-13T18:34:19Z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графикой в LaTeX</vt:lpwstr>
  </property>
  <property fmtid="{D5CDD505-2E9C-101B-9397-08002B2CF9AE}" pid="16" name="toc-title">
    <vt:lpwstr>Содержание</vt:lpwstr>
  </property>
</Properties>
</file>