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3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118.png" ContentType="image/png"/>
  <Override PartName="/word/media/rId123.png" ContentType="image/png"/>
  <Override PartName="/word/media/rId128.png" ContentType="image/png"/>
  <Override PartName="/word/media/rId133.png" ContentType="image/png"/>
  <Override PartName="/word/media/rId138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Работа с таблицами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изучить возможности включения и манипулирования таблицами в LaTeX, освоить различные типы колон, научиться использовать правила.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примеры, приведенные в теоретической части.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Для работы с таблицами в LaTeX используется окружение</w:t>
      </w:r>
      <w:r>
        <w:t xml:space="preserve"> </w:t>
      </w:r>
      <w:r>
        <w:rPr>
          <w:rStyle w:val="VerbatimChar"/>
        </w:rPr>
        <w:t xml:space="preserve">tabular</w:t>
      </w:r>
      <w:r>
        <w:t xml:space="preserve">. Пакет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добавляет дополнительные типы колонок к встроенным в LaTeX. 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предоставляет профессионально оформленные правила для таблиц.</w:t>
      </w:r>
    </w:p>
    <w:p>
      <w:pPr>
        <w:pStyle w:val="BodyText"/>
      </w:pPr>
      <w:r>
        <w:t xml:space="preserve">Основные типы колонок: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l</w:t>
      </w:r>
      <w:r>
        <w:t xml:space="preserve"> </w:t>
      </w:r>
      <w:r>
        <w:t xml:space="preserve">— выравнивание по левому краю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выравнивание по центру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</w:t>
      </w:r>
      <w:r>
        <w:t xml:space="preserve"> </w:t>
      </w:r>
      <w:r>
        <w:t xml:space="preserve">— выравнивание по правому краю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p{width}</w:t>
      </w:r>
      <w:r>
        <w:t xml:space="preserve"> </w:t>
      </w:r>
      <w:r>
        <w:t xml:space="preserve">— колонка фиксированной ширины с переносом текста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предоставляет команды: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для создания горизонтальных правил.</w:t>
      </w:r>
    </w:p>
    <w:p>
      <w:pPr>
        <w:pStyle w:val="BodyText"/>
      </w:pPr>
      <w:r>
        <w:t xml:space="preserve">Более подробно про работу с таблицами в LaTeX см. в</w:t>
      </w:r>
      <w:r>
        <w:t xml:space="preserve"> </w:t>
      </w:r>
      <w:r>
        <w:t xml:space="preserve">[1,2]</w:t>
      </w:r>
      <w:r>
        <w:t xml:space="preserve">.</w:t>
      </w:r>
    </w:p>
    <w:bookmarkEnd w:id="22"/>
    <w:bookmarkStart w:id="1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базовое-создание-таблицы"/>
    <w:p>
      <w:pPr>
        <w:pStyle w:val="Heading2"/>
      </w:pPr>
      <w:r>
        <w:t xml:space="preserve">4.1 Базовое создание таблицы</w:t>
      </w:r>
    </w:p>
    <w:p>
      <w:pPr>
        <w:pStyle w:val="FirstParagraph"/>
      </w:pPr>
      <w:r>
        <w:t xml:space="preserve">Начнем работу с базового добавления таблицы в документ. Создаем простой LaTeX файл с таблицей.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показан простейший пример создания таблицы.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45156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1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Базовый пример создания таблицы</w:t>
            </w:r>
          </w:p>
          <w:bookmarkEnd w:id="26"/>
        </w:tc>
      </w:tr>
    </w:tbl>
    <w:p>
      <w:pPr>
        <w:pStyle w:val="BodyText"/>
      </w:pPr>
      <w:r>
        <w:t xml:space="preserve">В базовом примере используются три колонки типа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(выравнивание по левому краю).</w:t>
      </w:r>
    </w:p>
    <w:bookmarkEnd w:id="27"/>
    <w:bookmarkStart w:id="32" w:name="проблемы-с-переполнением"/>
    <w:p>
      <w:pPr>
        <w:pStyle w:val="Heading2"/>
      </w:pPr>
      <w:r>
        <w:t xml:space="preserve">4.2 Проблемы с переполнением</w:t>
      </w:r>
    </w:p>
    <w:p>
      <w:pPr>
        <w:pStyle w:val="FirstParagraph"/>
      </w:pPr>
      <w:r>
        <w:t xml:space="preserve">Рассмотрим пример, где много текста в колонне.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показана проблема переполнения таблицы за границы документа.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891988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19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Таблица с переполнением</w:t>
            </w:r>
          </w:p>
          <w:bookmarkEnd w:id="31"/>
        </w:tc>
      </w:tr>
    </w:tbl>
    <w:p>
      <w:pPr>
        <w:pStyle w:val="BodyText"/>
      </w:pPr>
      <w:r>
        <w:t xml:space="preserve">Проблема в том, что столбец типа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верстается в одну строку с естественной шириной, даже если на пути находится граница страницы.</w:t>
      </w:r>
    </w:p>
    <w:bookmarkEnd w:id="32"/>
    <w:bookmarkStart w:id="37" w:name="решение-проблемы-с-переполнением"/>
    <w:p>
      <w:pPr>
        <w:pStyle w:val="Heading2"/>
      </w:pPr>
      <w:r>
        <w:t xml:space="preserve">4.3 Решение проблемы с переполнением</w:t>
      </w:r>
    </w:p>
    <w:p>
      <w:pPr>
        <w:pStyle w:val="FirstParagraph"/>
      </w:pPr>
      <w:r>
        <w:t xml:space="preserve">Можно использовать столбец типа</w:t>
      </w:r>
      <w:r>
        <w:t xml:space="preserve"> </w:t>
      </w:r>
      <w:r>
        <w:rPr>
          <w:rStyle w:val="VerbatimChar"/>
        </w:rPr>
        <w:t xml:space="preserve">p</w:t>
      </w:r>
      <w:r>
        <w:t xml:space="preserve">. Он верстается как абзацы с шириной, указанной нами. Создадим таблицу, указав ширину 9cm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75743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57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Таблица с исправлением переполнения</w:t>
            </w:r>
          </w:p>
          <w:bookmarkEnd w:id="36"/>
        </w:tc>
      </w:tr>
    </w:tbl>
    <w:p>
      <w:pPr>
        <w:pStyle w:val="BodyText"/>
      </w:pPr>
      <w:r>
        <w:t xml:space="preserve">Теперь нет проблем с переполнением текста за границы документа. Текст автоматически переносится внутри ячейки.</w:t>
      </w:r>
    </w:p>
    <w:bookmarkEnd w:id="37"/>
    <w:bookmarkStart w:id="42" w:name="сокращение-для-одинаковых-колон"/>
    <w:p>
      <w:pPr>
        <w:pStyle w:val="Heading2"/>
      </w:pPr>
      <w:r>
        <w:t xml:space="preserve">4.4 Сокращение для одинаковых колон</w:t>
      </w:r>
    </w:p>
    <w:p>
      <w:pPr>
        <w:pStyle w:val="FirstParagraph"/>
      </w:pPr>
      <w:r>
        <w:t xml:space="preserve">Если в таблице много колон с одинаковым типом, можно сокращенно задать их в формате</w:t>
      </w:r>
      <w:r>
        <w:t xml:space="preserve"> </w:t>
      </w:r>
      <w:r>
        <w:rPr>
          <w:rStyle w:val="VerbatimChar"/>
        </w:rPr>
        <w:t xml:space="preserve">*{6}{c}</w:t>
      </w:r>
      <w:r>
        <w:t xml:space="preserve"> </w:t>
      </w:r>
      <w:r>
        <w:t xml:space="preserve">— что будет равносильно</w:t>
      </w:r>
      <w:r>
        <w:t xml:space="preserve"> </w:t>
      </w:r>
      <w:r>
        <w:rPr>
          <w:rStyle w:val="VerbatimChar"/>
        </w:rPr>
        <w:t xml:space="preserve">cccccc</w:t>
      </w:r>
      <w:r>
        <w:t xml:space="preserve">. На рисунке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показан пример использования этого сокращения.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4"/>
          <w:p>
            <w:pPr>
              <w:pStyle w:val="Compact"/>
              <w:jc w:val="center"/>
            </w:pPr>
            <w:r>
              <w:drawing>
                <wp:inline>
                  <wp:extent cx="3733800" cy="1246488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64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Сокращенное задание типов колонок</w:t>
            </w:r>
          </w:p>
          <w:bookmarkEnd w:id="41"/>
        </w:tc>
      </w:tr>
    </w:tbl>
    <w:p>
      <w:pPr>
        <w:pStyle w:val="BodyText"/>
      </w:pPr>
      <w:r>
        <w:t xml:space="preserve">Результат аналогичен таблице без сокращений.</w:t>
      </w:r>
    </w:p>
    <w:bookmarkEnd w:id="42"/>
    <w:bookmarkStart w:id="62" w:name="добавление-правил"/>
    <w:p>
      <w:pPr>
        <w:pStyle w:val="Heading2"/>
      </w:pPr>
      <w:r>
        <w:t xml:space="preserve">4.5 Добавление правил</w:t>
      </w:r>
    </w:p>
    <w:p>
      <w:pPr>
        <w:pStyle w:val="FirstParagraph"/>
      </w:pPr>
      <w:r>
        <w:t xml:space="preserve">Ознакомимся с возможностями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 Он предоставляет четыре различных типа линий: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. На рисунке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показана таблица с правилами.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5"/>
          <w:p>
            <w:pPr>
              <w:pStyle w:val="Compact"/>
              <w:jc w:val="center"/>
            </w:pPr>
            <w:r>
              <w:drawing>
                <wp:inline>
                  <wp:extent cx="3390900" cy="1473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0900" cy="1473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Таблица с правилами booktabs</w:t>
            </w:r>
          </w:p>
          <w:bookmarkEnd w:id="46"/>
        </w:tc>
      </w:tr>
    </w:tbl>
    <w:bookmarkStart w:id="51" w:name="команда-cmidrule"/>
    <w:p>
      <w:pPr>
        <w:pStyle w:val="Heading3"/>
      </w:pPr>
      <w:r>
        <w:t xml:space="preserve">4.5.1 Команда cmidrule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используется для построения линии, охватывающей не всю ширину таблицы, а только указанный диапазон столбцов. На рисунке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показан пример использования.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6"/>
          <w:p>
            <w:pPr>
              <w:pStyle w:val="Compact"/>
              <w:jc w:val="center"/>
            </w:pPr>
            <w:r>
              <w:drawing>
                <wp:inline>
                  <wp:extent cx="3733800" cy="1300426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fig06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04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Использование cmidrule</w:t>
            </w:r>
          </w:p>
          <w:bookmarkEnd w:id="50"/>
        </w:tc>
      </w:tr>
    </w:tbl>
    <w:bookmarkEnd w:id="51"/>
    <w:bookmarkStart w:id="56" w:name="сокращение-cmidrule"/>
    <w:p>
      <w:pPr>
        <w:pStyle w:val="Heading3"/>
      </w:pPr>
      <w:r>
        <w:t xml:space="preserve">4.5.2 Сокращение cmidrule</w:t>
      </w:r>
    </w:p>
    <w:p>
      <w:pPr>
        <w:pStyle w:val="FirstParagraph"/>
      </w:pPr>
      <w:r>
        <w:t xml:space="preserve">Можно сократить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 </w:t>
      </w:r>
      <w:r>
        <w:t xml:space="preserve">с любой стороны, добавив необязательный аргумент в скобках:</w:t>
      </w:r>
      <w:r>
        <w:t xml:space="preserve"> </w:t>
      </w:r>
      <w:r>
        <w:rPr>
          <w:rStyle w:val="VerbatimChar"/>
        </w:rPr>
        <w:t xml:space="preserve">(r)</w:t>
      </w:r>
      <w:r>
        <w:t xml:space="preserve">,</w:t>
      </w:r>
      <w:r>
        <w:t xml:space="preserve"> </w:t>
      </w:r>
      <w:r>
        <w:rPr>
          <w:rStyle w:val="VerbatimChar"/>
        </w:rPr>
        <w:t xml:space="preserve">(l)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(rl)</w:t>
      </w:r>
      <w:r>
        <w:t xml:space="preserve">. Пример показан на рисунке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7"/>
          <w:p>
            <w:pPr>
              <w:pStyle w:val="Compact"/>
              <w:jc w:val="center"/>
            </w:pPr>
            <w:r>
              <w:drawing>
                <wp:inline>
                  <wp:extent cx="3733800" cy="17399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fig07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Сокращение cmidrule</w:t>
            </w:r>
          </w:p>
          <w:bookmarkEnd w:id="55"/>
        </w:tc>
      </w:tr>
    </w:tbl>
    <w:bookmarkEnd w:id="56"/>
    <w:bookmarkStart w:id="61" w:name="команда-addlinespace"/>
    <w:p>
      <w:pPr>
        <w:pStyle w:val="Heading3"/>
      </w:pPr>
      <w:r>
        <w:t xml:space="preserve">4.5.3 Команда addlinespace</w:t>
      </w:r>
    </w:p>
    <w:p>
      <w:pPr>
        <w:pStyle w:val="FirstParagraph"/>
      </w:pPr>
      <w:r>
        <w:t xml:space="preserve">Для вставки небольшого пробела между строками используется команда</w:t>
      </w:r>
      <w:r>
        <w:t xml:space="preserve"> </w:t>
      </w:r>
      <w:r>
        <w:rPr>
          <w:rStyle w:val="VerbatimChar"/>
        </w:rPr>
        <w:t xml:space="preserve">addlinespace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8"/>
          <w:p>
            <w:pPr>
              <w:pStyle w:val="Compact"/>
              <w:jc w:val="center"/>
            </w:pPr>
            <w:r>
              <w:drawing>
                <wp:inline>
                  <wp:extent cx="3733800" cy="135665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fig08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56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Использование addlinespace</w:t>
            </w:r>
          </w:p>
          <w:bookmarkEnd w:id="60"/>
        </w:tc>
      </w:tr>
    </w:tbl>
    <w:bookmarkEnd w:id="61"/>
    <w:bookmarkEnd w:id="62"/>
    <w:bookmarkStart w:id="77" w:name="объединение-ячеек"/>
    <w:p>
      <w:pPr>
        <w:pStyle w:val="Heading2"/>
      </w:pPr>
      <w:r>
        <w:t xml:space="preserve">4.6 Объединение ячеек</w:t>
      </w:r>
    </w:p>
    <w:p>
      <w:pPr>
        <w:pStyle w:val="FirstParagraph"/>
      </w:pPr>
      <w:r>
        <w:t xml:space="preserve">В LaTeX можно объединять ячейки по горизонтали с помощью команды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. На рисунке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 </w:t>
      </w:r>
      <w:r>
        <w:t xml:space="preserve">показан пример объединения ячеек.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r>
              <w:drawing>
                <wp:inline>
                  <wp:extent cx="3733800" cy="1776273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fig0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62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Объединение ячеек с multicolumn</w:t>
            </w:r>
          </w:p>
          <w:bookmarkEnd w:id="66"/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принимает три аргумента:</w:t>
      </w:r>
      <w:r>
        <w:t xml:space="preserve"> </w:t>
      </w:r>
      <w:r>
        <w:t xml:space="preserve">1. Количество ячеек для объединения</w:t>
      </w:r>
      <w:r>
        <w:t xml:space="preserve"> </w:t>
      </w:r>
      <w:r>
        <w:t xml:space="preserve">2. Выравнивание объединённой ячейки</w:t>
      </w:r>
      <w:r>
        <w:t xml:space="preserve"> </w:t>
      </w:r>
      <w:r>
        <w:t xml:space="preserve">3. Содержимое объединённой ячейки</w:t>
      </w:r>
    </w:p>
    <w:bookmarkStart w:id="71" w:name="центрирование-заголовков"/>
    <w:p>
      <w:pPr>
        <w:pStyle w:val="Heading3"/>
      </w:pPr>
      <w:r>
        <w:t xml:space="preserve">4.6.1 Центрирование заголовков</w:t>
      </w:r>
    </w:p>
    <w:p>
      <w:pPr>
        <w:pStyle w:val="FirstParagraph"/>
      </w:pPr>
      <w:r>
        <w:t xml:space="preserve">Можно использовать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для одной ячейки, чтобы изменить её выравнивание. Пример показан на рисунке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0"/>
          <w:p>
            <w:pPr>
              <w:pStyle w:val="Compact"/>
              <w:jc w:val="center"/>
            </w:pPr>
            <w:r>
              <w:drawing>
                <wp:inline>
                  <wp:extent cx="3733800" cy="176284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fig10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8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Центрирование заголовков таблицы</w:t>
            </w:r>
          </w:p>
          <w:bookmarkEnd w:id="70"/>
        </w:tc>
      </w:tr>
    </w:tbl>
    <w:bookmarkEnd w:id="71"/>
    <w:bookmarkStart w:id="76" w:name="вертикальное-объединение"/>
    <w:p>
      <w:pPr>
        <w:pStyle w:val="Heading3"/>
      </w:pPr>
      <w:r>
        <w:t xml:space="preserve">4.6.2 Вертикальное объединение</w:t>
      </w:r>
    </w:p>
    <w:p>
      <w:pPr>
        <w:pStyle w:val="FirstParagraph"/>
      </w:pPr>
      <w:r>
        <w:t xml:space="preserve">Вертикальное объединение ячеек в LaTeX не поддерживается явно. Обычно достаточно оставить ячейки пустыми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1"/>
          <w:p>
            <w:pPr>
              <w:pStyle w:val="Compact"/>
              <w:jc w:val="center"/>
            </w:pPr>
            <w:r>
              <w:drawing>
                <wp:inline>
                  <wp:extent cx="3733800" cy="30492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fig11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9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Имитация вертикального объединения</w:t>
            </w:r>
          </w:p>
          <w:bookmarkEnd w:id="75"/>
        </w:tc>
      </w:tr>
    </w:tbl>
    <w:bookmarkEnd w:id="76"/>
    <w:bookmarkEnd w:id="77"/>
    <w:bookmarkStart w:id="86" w:name="стилизация-колонок"/>
    <w:p>
      <w:pPr>
        <w:pStyle w:val="Heading2"/>
      </w:pPr>
      <w:r>
        <w:t xml:space="preserve">4.7 Стилизация колонок</w:t>
      </w:r>
    </w:p>
    <w:p>
      <w:pPr>
        <w:pStyle w:val="FirstParagraph"/>
      </w:pPr>
      <w:r>
        <w:t xml:space="preserve">Можно использовать символы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для добавления команд форматирования. На рисунке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 </w:t>
      </w:r>
      <w:r>
        <w:t xml:space="preserve">показан пример курсивного текста с двоеточием.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2"/>
          <w:p>
            <w:pPr>
              <w:pStyle w:val="Compact"/>
              <w:jc w:val="center"/>
            </w:pPr>
            <w:r>
              <w:drawing>
                <wp:inline>
                  <wp:extent cx="3733800" cy="137116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fig12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11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Стилизация колонок</w:t>
            </w:r>
          </w:p>
          <w:bookmarkEnd w:id="81"/>
        </w:tc>
      </w:tr>
    </w:tbl>
    <w:p>
      <w:pPr>
        <w:pStyle w:val="BodyText"/>
      </w:pPr>
      <w:r>
        <w:t xml:space="preserve">Для исключения форматирования в заголовке используется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3"/>
          <w:p>
            <w:pPr>
              <w:pStyle w:val="Compact"/>
              <w:jc w:val="center"/>
            </w:pPr>
            <w:r>
              <w:drawing>
                <wp:inline>
                  <wp:extent cx="3733800" cy="131259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fig13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2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Исключение форматирования в заголовке</w:t>
            </w:r>
          </w:p>
          <w:bookmarkEnd w:id="85"/>
        </w:tc>
      </w:tr>
    </w:tbl>
    <w:bookmarkEnd w:id="86"/>
    <w:bookmarkStart w:id="91" w:name="X66773b3dc05798c964d714788fc9a5cd8d22922"/>
    <w:p>
      <w:pPr>
        <w:pStyle w:val="Heading2"/>
      </w:pPr>
      <w:r>
        <w:t xml:space="preserve">4.8 Манипулирование пространством между столбцами</w:t>
      </w:r>
    </w:p>
    <w:p>
      <w:pPr>
        <w:pStyle w:val="FirstParagraph"/>
      </w:pPr>
      <w:r>
        <w:t xml:space="preserve">Пространство между столбцами определяется длиной</w:t>
      </w:r>
      <w:r>
        <w:t xml:space="preserve"> </w:t>
      </w:r>
      <w:r>
        <w:rPr>
          <w:rStyle w:val="VerbatimChar"/>
        </w:rPr>
        <w:t xml:space="preserve">tabcolsep</w:t>
      </w:r>
      <w:r>
        <w:t xml:space="preserve">. Его можно изменить с помощью</w:t>
      </w:r>
      <w:r>
        <w:t xml:space="preserve"> </w:t>
      </w:r>
      <w:r>
        <w:rPr>
          <w:rStyle w:val="VerbatimChar"/>
        </w:rPr>
        <w:t xml:space="preserve">setlength</w:t>
      </w:r>
      <w:r>
        <w:t xml:space="preserve"> </w:t>
      </w:r>
      <w:r>
        <w:t xml:space="preserve">(рис.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4"/>
          <w:p>
            <w:pPr>
              <w:pStyle w:val="Compact"/>
              <w:jc w:val="center"/>
            </w:pPr>
            <w:r>
              <w:drawing>
                <wp:inline>
                  <wp:extent cx="3733800" cy="1236917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fig14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Изменение пространства между столбцами</w:t>
            </w:r>
          </w:p>
          <w:bookmarkEnd w:id="90"/>
        </w:tc>
      </w:tr>
    </w:tbl>
    <w:bookmarkEnd w:id="91"/>
    <w:bookmarkStart w:id="96" w:name="вертикальные-правила"/>
    <w:p>
      <w:pPr>
        <w:pStyle w:val="Heading2"/>
      </w:pPr>
      <w:r>
        <w:t xml:space="preserve">4.9 Вертикальные правила</w:t>
      </w:r>
    </w:p>
    <w:p>
      <w:pPr>
        <w:pStyle w:val="FirstParagraph"/>
      </w:pPr>
      <w:r>
        <w:t xml:space="preserve">Вертикальные правила добавляются символом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в преамбуле таблицы. Пример показан на рисунке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5"/>
          <w:p>
            <w:pPr>
              <w:pStyle w:val="Compact"/>
              <w:jc w:val="center"/>
            </w:pPr>
            <w:r>
              <w:drawing>
                <wp:inline>
                  <wp:extent cx="3733800" cy="83558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fig15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Вертикальные правила</w:t>
            </w:r>
          </w:p>
          <w:bookmarkEnd w:id="95"/>
        </w:tc>
      </w:tr>
    </w:tbl>
    <w:p>
      <w:pPr>
        <w:pStyle w:val="BodyText"/>
      </w:pPr>
      <w:r>
        <w:t xml:space="preserve">Следует отметить, что вертикальные линии не работают с горизонтальными линиями из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.</w:t>
      </w:r>
    </w:p>
    <w:bookmarkEnd w:id="96"/>
    <w:bookmarkStart w:id="101" w:name="настройка-правил-booktabs"/>
    <w:p>
      <w:pPr>
        <w:pStyle w:val="Heading2"/>
      </w:pPr>
      <w:r>
        <w:t xml:space="preserve">4.10 Настройка правил BookTabs</w:t>
      </w:r>
    </w:p>
    <w:p>
      <w:pPr>
        <w:pStyle w:val="FirstParagraph"/>
      </w:pPr>
      <w:r>
        <w:t xml:space="preserve">Все правила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поддерживают необязательный аргумент для задания толщины линии. Пример показан на рисунке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127125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fig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71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Настройка толщины правил</w:t>
            </w:r>
          </w:p>
          <w:bookmarkEnd w:id="100"/>
        </w:tc>
      </w:tr>
    </w:tbl>
    <w:bookmarkEnd w:id="101"/>
    <w:bookmarkStart w:id="106" w:name="числовое-выравнивание-в-колонах"/>
    <w:p>
      <w:pPr>
        <w:pStyle w:val="Heading2"/>
      </w:pPr>
      <w:r>
        <w:t xml:space="preserve">4.11 Числовое выравнивание в колонах</w:t>
      </w:r>
    </w:p>
    <w:p>
      <w:pPr>
        <w:pStyle w:val="FirstParagraph"/>
      </w:pPr>
      <w:r>
        <w:t xml:space="preserve">Выравнивание чисел реализуется с помощью столбца типа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из пакета</w:t>
      </w:r>
      <w:r>
        <w:t xml:space="preserve"> </w:t>
      </w:r>
      <w:r>
        <w:rPr>
          <w:rStyle w:val="VerbatimChar"/>
        </w:rPr>
        <w:t xml:space="preserve">siunitx</w:t>
      </w:r>
      <w:r>
        <w:t xml:space="preserve">. На рисунке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показан пример.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7"/>
          <w:p>
            <w:pPr>
              <w:pStyle w:val="Compact"/>
              <w:jc w:val="center"/>
            </w:pPr>
            <w:r>
              <w:drawing>
                <wp:inline>
                  <wp:extent cx="3733800" cy="1214966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fig17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14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Числовое выравнивание</w:t>
            </w:r>
          </w:p>
          <w:bookmarkEnd w:id="105"/>
        </w:tc>
      </w:tr>
    </w:tbl>
    <w:p>
      <w:pPr>
        <w:pStyle w:val="BodyText"/>
      </w:pPr>
      <w:r>
        <w:t xml:space="preserve">Нечисловые ячейки должны быть защищены фигурными скобками.</w:t>
      </w:r>
    </w:p>
    <w:bookmarkEnd w:id="106"/>
    <w:bookmarkStart w:id="117" w:name="указание-общей-ширины-таблицы"/>
    <w:p>
      <w:pPr>
        <w:pStyle w:val="Heading2"/>
      </w:pPr>
      <w:r>
        <w:t xml:space="preserve">4.12 Указание общей ширины таблицы</w:t>
      </w:r>
    </w:p>
    <w:bookmarkStart w:id="111" w:name="окружение-tabular"/>
    <w:p>
      <w:pPr>
        <w:pStyle w:val="Heading3"/>
      </w:pPr>
      <w:r>
        <w:t xml:space="preserve">4.12.1 Окружение tabular*</w:t>
      </w:r>
    </w:p>
    <w:p>
      <w:pPr>
        <w:pStyle w:val="FirstParagraph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tabular*</w:t>
      </w:r>
      <w:r>
        <w:t xml:space="preserve"> </w:t>
      </w:r>
      <w:r>
        <w:t xml:space="preserve">принимает дополнительный аргумент ширины. На рисунке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показаны примеры с разной шириной.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18"/>
          <w:p>
            <w:pPr>
              <w:pStyle w:val="Compact"/>
              <w:jc w:val="center"/>
            </w:pPr>
            <w:r>
              <w:drawing>
                <wp:inline>
                  <wp:extent cx="3733800" cy="1095248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fig18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5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Использование tabular*</w:t>
            </w:r>
          </w:p>
          <w:bookmarkEnd w:id="110"/>
        </w:tc>
      </w:tr>
    </w:tbl>
    <w:bookmarkEnd w:id="111"/>
    <w:bookmarkStart w:id="116" w:name="окружение-tabularx"/>
    <w:p>
      <w:pPr>
        <w:pStyle w:val="Heading3"/>
      </w:pPr>
      <w:r>
        <w:t xml:space="preserve">4.12.2 Окружение tabularx</w:t>
      </w:r>
    </w:p>
    <w:p>
      <w:pPr>
        <w:pStyle w:val="FirstParagraph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tabularx</w:t>
      </w:r>
      <w:r>
        <w:t xml:space="preserve"> </w:t>
      </w:r>
      <w:r>
        <w:t xml:space="preserve">использует тип колонки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автоматического определения ширины. Пример на рисунке</w:t>
      </w:r>
      <w:r>
        <w:t xml:space="preserve"> </w:t>
      </w:r>
      <w:hyperlink w:anchor="fig-019">
        <w:r>
          <w:rPr>
            <w:rStyle w:val="Hyperlink"/>
          </w:rPr>
          <w:t xml:space="preserve">19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19"/>
          <w:p>
            <w:pPr>
              <w:pStyle w:val="Compact"/>
              <w:jc w:val="center"/>
            </w:pPr>
            <w:r>
              <w:drawing>
                <wp:inline>
                  <wp:extent cx="3733800" cy="188262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fig19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2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Использование tabularx</w:t>
            </w:r>
          </w:p>
          <w:bookmarkEnd w:id="115"/>
        </w:tc>
      </w:tr>
    </w:tbl>
    <w:bookmarkEnd w:id="116"/>
    <w:bookmarkEnd w:id="117"/>
    <w:bookmarkStart w:id="122" w:name="multi-page-таблицы"/>
    <w:p>
      <w:pPr>
        <w:pStyle w:val="Heading2"/>
      </w:pPr>
      <w:r>
        <w:t xml:space="preserve">4.13 Multi-page таблицы</w:t>
      </w:r>
    </w:p>
    <w:p>
      <w:pPr>
        <w:pStyle w:val="FirstParagraph"/>
      </w:pPr>
      <w:r>
        <w:t xml:space="preserve">Для таблиц на нескольких страницах используется пакет</w:t>
      </w:r>
      <w:r>
        <w:t xml:space="preserve"> </w:t>
      </w:r>
      <w:r>
        <w:rPr>
          <w:rStyle w:val="VerbatimChar"/>
        </w:rPr>
        <w:t xml:space="preserve">longtable</w:t>
      </w:r>
      <w:r>
        <w:t xml:space="preserve">. На рисунке</w:t>
      </w:r>
      <w:r>
        <w:t xml:space="preserve"> </w:t>
      </w:r>
      <w:hyperlink w:anchor="fig-020">
        <w:r>
          <w:rPr>
            <w:rStyle w:val="Hyperlink"/>
          </w:rPr>
          <w:t xml:space="preserve">20</w:t>
        </w:r>
      </w:hyperlink>
      <w:r>
        <w:t xml:space="preserve"> </w:t>
      </w:r>
      <w:r>
        <w:t xml:space="preserve">показан пример.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0"/>
          <w:p>
            <w:pPr>
              <w:pStyle w:val="Compact"/>
              <w:jc w:val="center"/>
            </w:pPr>
            <w:r>
              <w:drawing>
                <wp:inline>
                  <wp:extent cx="3733800" cy="26670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fig2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Таблица longtable</w:t>
            </w:r>
          </w:p>
          <w:bookmarkEnd w:id="121"/>
        </w:tc>
      </w:tr>
    </w:tbl>
    <w:bookmarkEnd w:id="122"/>
    <w:bookmarkStart w:id="127" w:name="заметки-таблицы"/>
    <w:p>
      <w:pPr>
        <w:pStyle w:val="Heading2"/>
      </w:pPr>
      <w:r>
        <w:t xml:space="preserve">4.14 Заметки таблицы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threeparttable</w:t>
      </w:r>
      <w:r>
        <w:t xml:space="preserve"> </w:t>
      </w:r>
      <w:r>
        <w:t xml:space="preserve">упрощает добавление примечаний к таблице. Пример показан на рисунке</w:t>
      </w:r>
      <w:r>
        <w:t xml:space="preserve"> </w:t>
      </w:r>
      <w:hyperlink w:anchor="fig-021">
        <w:r>
          <w:rPr>
            <w:rStyle w:val="Hyperlink"/>
          </w:rPr>
          <w:t xml:space="preserve">21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1"/>
          <w:p>
            <w:pPr>
              <w:pStyle w:val="Compact"/>
              <w:jc w:val="center"/>
            </w:pPr>
            <w:r>
              <w:drawing>
                <wp:inline>
                  <wp:extent cx="3733800" cy="941428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fig2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14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Заметки таблицы с threeparttable</w:t>
            </w:r>
          </w:p>
          <w:bookmarkEnd w:id="126"/>
        </w:tc>
      </w:tr>
    </w:tbl>
    <w:bookmarkEnd w:id="127"/>
    <w:bookmarkStart w:id="132" w:name="определение-новых-типов-колон"/>
    <w:p>
      <w:pPr>
        <w:pStyle w:val="Heading2"/>
      </w:pPr>
      <w:r>
        <w:t xml:space="preserve">4.15 Определение новых типов колон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позволяет определять новые типы колонок. На рисунке</w:t>
      </w:r>
      <w:r>
        <w:t xml:space="preserve"> </w:t>
      </w:r>
      <w:hyperlink w:anchor="fig-022">
        <w:r>
          <w:rPr>
            <w:rStyle w:val="Hyperlink"/>
          </w:rPr>
          <w:t xml:space="preserve">22</w:t>
        </w:r>
      </w:hyperlink>
      <w:r>
        <w:t xml:space="preserve"> </w:t>
      </w:r>
      <w:r>
        <w:t xml:space="preserve">показан пример.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2"/>
          <w:p>
            <w:pPr>
              <w:pStyle w:val="Compact"/>
              <w:jc w:val="center"/>
            </w:pPr>
            <w:r>
              <w:drawing>
                <wp:inline>
                  <wp:extent cx="3733800" cy="456483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fig22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6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Определение новых типов колонок</w:t>
            </w:r>
          </w:p>
          <w:bookmarkEnd w:id="131"/>
        </w:tc>
      </w:tr>
    </w:tbl>
    <w:bookmarkEnd w:id="132"/>
    <w:bookmarkStart w:id="137" w:name="vertical-tricks"/>
    <w:p>
      <w:pPr>
        <w:pStyle w:val="Heading2"/>
      </w:pPr>
      <w:r>
        <w:t xml:space="preserve">4.16 Vertical tricks</w:t>
      </w:r>
    </w:p>
    <w:p>
      <w:pPr>
        <w:pStyle w:val="FirstParagraph"/>
      </w:pPr>
      <w:r>
        <w:t xml:space="preserve">Вместо размещения ячейки в нескольких строках можно использовать вложенные таблицы. Пример на рисунке</w:t>
      </w:r>
      <w:r>
        <w:t xml:space="preserve"> </w:t>
      </w:r>
      <w:hyperlink w:anchor="fig-023">
        <w:r>
          <w:rPr>
            <w:rStyle w:val="Hyperlink"/>
          </w:rPr>
          <w:t xml:space="preserve">23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3"/>
          <w:p>
            <w:pPr>
              <w:pStyle w:val="Compact"/>
              <w:jc w:val="center"/>
            </w:pPr>
            <w:r>
              <w:drawing>
                <wp:inline>
                  <wp:extent cx="3733800" cy="1113835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fig23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3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Вложенные таблицы</w:t>
            </w:r>
          </w:p>
          <w:bookmarkEnd w:id="136"/>
        </w:tc>
      </w:tr>
    </w:tbl>
    <w:bookmarkEnd w:id="137"/>
    <w:bookmarkStart w:id="142" w:name="межстрочный-интервал-в-таблицах"/>
    <w:p>
      <w:pPr>
        <w:pStyle w:val="Heading2"/>
      </w:pPr>
      <w:r>
        <w:t xml:space="preserve">4.17 Межстрочный интервал в таблицах</w:t>
      </w:r>
    </w:p>
    <w:p>
      <w:pPr>
        <w:pStyle w:val="FirstParagraph"/>
      </w:pPr>
      <w:r>
        <w:t xml:space="preserve">Для управления межстрочным интервалом используются параметры</w:t>
      </w:r>
      <w:r>
        <w:t xml:space="preserve"> </w:t>
      </w:r>
      <w:r>
        <w:rPr>
          <w:rStyle w:val="VerbatimChar"/>
        </w:rPr>
        <w:t xml:space="preserve">arraystretch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extrarowheight</w:t>
      </w:r>
      <w:r>
        <w:t xml:space="preserve">. На рисунке</w:t>
      </w:r>
      <w:r>
        <w:t xml:space="preserve"> </w:t>
      </w:r>
      <w:hyperlink w:anchor="fig-024">
        <w:r>
          <w:rPr>
            <w:rStyle w:val="Hyperlink"/>
          </w:rPr>
          <w:t xml:space="preserve">24</w:t>
        </w:r>
      </w:hyperlink>
      <w:r>
        <w:t xml:space="preserve"> </w:t>
      </w:r>
      <w:r>
        <w:t xml:space="preserve">показано сравнение.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4"/>
          <w:p>
            <w:pPr>
              <w:pStyle w:val="Compact"/>
              <w:jc w:val="center"/>
            </w:pPr>
            <w:r>
              <w:drawing>
                <wp:inline>
                  <wp:extent cx="3733800" cy="132466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fig24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4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Настройка межстрочного интервала</w:t>
            </w:r>
          </w:p>
          <w:bookmarkEnd w:id="141"/>
        </w:tc>
      </w:tr>
    </w:tbl>
    <w:bookmarkEnd w:id="142"/>
    <w:bookmarkEnd w:id="143"/>
    <w:bookmarkStart w:id="168" w:name="упражнения"/>
    <w:p>
      <w:pPr>
        <w:pStyle w:val="Heading1"/>
      </w:pPr>
      <w:r>
        <w:t xml:space="preserve">5. Упражнения</w:t>
      </w:r>
    </w:p>
    <w:bookmarkStart w:id="156" w:name="эксперименты-с-выравниванием"/>
    <w:p>
      <w:pPr>
        <w:pStyle w:val="Heading2"/>
      </w:pPr>
      <w:r>
        <w:t xml:space="preserve">5.1 Эксперименты с выравниванием</w:t>
      </w:r>
    </w:p>
    <w:p>
      <w:pPr>
        <w:pStyle w:val="FirstParagraph"/>
      </w:pPr>
      <w:r>
        <w:t xml:space="preserve">Протестируем различные типы выравнивания колонок: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 На рисунках</w:t>
      </w:r>
      <w:r>
        <w:t xml:space="preserve"> </w:t>
      </w:r>
      <w:hyperlink w:anchor="fig-025">
        <w:r>
          <w:rPr>
            <w:rStyle w:val="Hyperlink"/>
          </w:rPr>
          <w:t xml:space="preserve">25</w:t>
        </w:r>
      </w:hyperlink>
      <w:r>
        <w:t xml:space="preserve">,</w:t>
      </w:r>
      <w:r>
        <w:t xml:space="preserve"> </w:t>
      </w:r>
      <w:hyperlink w:anchor="fig-026">
        <w:r>
          <w:rPr>
            <w:rStyle w:val="Hyperlink"/>
          </w:rPr>
          <w:t xml:space="preserve">26</w:t>
        </w:r>
      </w:hyperlink>
      <w:r>
        <w:t xml:space="preserve"> </w:t>
      </w:r>
      <w:r>
        <w:t xml:space="preserve">и</w:t>
      </w:r>
      <w:r>
        <w:t xml:space="preserve"> </w:t>
      </w:r>
      <w:hyperlink w:anchor="fig-027">
        <w:r>
          <w:rPr>
            <w:rStyle w:val="Hyperlink"/>
          </w:rPr>
          <w:t xml:space="preserve">27</w:t>
        </w:r>
      </w:hyperlink>
      <w:r>
        <w:t xml:space="preserve"> </w:t>
      </w:r>
      <w:r>
        <w:t xml:space="preserve">показаны результаты.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25"/>
          <w:p>
            <w:pPr>
              <w:pStyle w:val="Compact"/>
              <w:jc w:val="center"/>
            </w:pPr>
            <w:r>
              <w:drawing>
                <wp:inline>
                  <wp:extent cx="3733800" cy="744719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fig25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7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Выравнивание по правому краю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26"/>
          <w:p>
            <w:pPr>
              <w:pStyle w:val="Compact"/>
              <w:jc w:val="center"/>
            </w:pPr>
            <w:r>
              <w:drawing>
                <wp:inline>
                  <wp:extent cx="3733800" cy="633276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fig26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32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Выравнивание по левому краю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27"/>
          <w:p>
            <w:pPr>
              <w:pStyle w:val="Compact"/>
              <w:jc w:val="center"/>
            </w:pPr>
            <w:r>
              <w:drawing>
                <wp:inline>
                  <wp:extent cx="3733800" cy="1074348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fig27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4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Выравнивание по центру</w:t>
            </w:r>
          </w:p>
          <w:bookmarkEnd w:id="155"/>
        </w:tc>
      </w:tr>
    </w:tbl>
    <w:bookmarkEnd w:id="156"/>
    <w:bookmarkStart w:id="161" w:name="недостаточное-количество-элементов"/>
    <w:p>
      <w:pPr>
        <w:pStyle w:val="Heading2"/>
      </w:pPr>
      <w:r>
        <w:t xml:space="preserve">5.2 Недостаточное количество элементов</w:t>
      </w:r>
    </w:p>
    <w:p>
      <w:pPr>
        <w:pStyle w:val="FirstParagraph"/>
      </w:pPr>
      <w:r>
        <w:t xml:space="preserve">Если в строке таблицы недостаточно элементов, недостающие ячейки будут пустыми. Пример на рисунке</w:t>
      </w:r>
      <w:r>
        <w:t xml:space="preserve"> </w:t>
      </w:r>
      <w:hyperlink w:anchor="fig-028">
        <w:r>
          <w:rPr>
            <w:rStyle w:val="Hyperlink"/>
          </w:rPr>
          <w:t xml:space="preserve">28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28"/>
          <w:p>
            <w:pPr>
              <w:pStyle w:val="Compact"/>
              <w:jc w:val="center"/>
            </w:pPr>
            <w:r>
              <w:drawing>
                <wp:inline>
                  <wp:extent cx="3733800" cy="1130808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fig28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08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Недостающие элементы в строке</w:t>
            </w:r>
          </w:p>
          <w:bookmarkEnd w:id="160"/>
        </w:tc>
      </w:tr>
    </w:tbl>
    <w:bookmarkEnd w:id="161"/>
    <w:bookmarkStart w:id="162" w:name="избыточное-количество-элементов"/>
    <w:p>
      <w:pPr>
        <w:pStyle w:val="Heading2"/>
      </w:pPr>
      <w:r>
        <w:t xml:space="preserve">5.3 Избыточное количество элементов</w:t>
      </w:r>
    </w:p>
    <w:p>
      <w:pPr>
        <w:pStyle w:val="FirstParagraph"/>
      </w:pPr>
      <w:r>
        <w:t xml:space="preserve">Если элементов больше, чем колонок, файл не скомпилируется. Необходимо соблюдать соответствие между количеством колонок и элементов.</w:t>
      </w:r>
    </w:p>
    <w:bookmarkEnd w:id="162"/>
    <w:bookmarkStart w:id="167" w:name="эксперименты-с-multicolumn"/>
    <w:p>
      <w:pPr>
        <w:pStyle w:val="Heading2"/>
      </w:pPr>
      <w:r>
        <w:t xml:space="preserve">5.4 Эксперименты с multicolumn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multicolumn</w:t>
      </w:r>
      <w:r>
        <w:t xml:space="preserve"> </w:t>
      </w:r>
      <w:r>
        <w:t xml:space="preserve">позволяет объединять ячейки. На рисунке</w:t>
      </w:r>
      <w:r>
        <w:t xml:space="preserve"> </w:t>
      </w:r>
      <w:hyperlink w:anchor="fig-029">
        <w:r>
          <w:rPr>
            <w:rStyle w:val="Hyperlink"/>
          </w:rPr>
          <w:t xml:space="preserve">29</w:t>
        </w:r>
      </w:hyperlink>
      <w:r>
        <w:t xml:space="preserve"> </w:t>
      </w:r>
      <w:r>
        <w:t xml:space="preserve">показаны различные варианты объединения.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29"/>
          <w:p>
            <w:pPr>
              <w:pStyle w:val="Compact"/>
              <w:jc w:val="center"/>
            </w:pPr>
            <w:r>
              <w:drawing>
                <wp:inline>
                  <wp:extent cx="3733800" cy="1172953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fig29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Эксперименты с multicolumn</w:t>
            </w:r>
          </w:p>
          <w:bookmarkEnd w:id="166"/>
        </w:tc>
      </w:tr>
    </w:tbl>
    <w:bookmarkEnd w:id="167"/>
    <w:bookmarkEnd w:id="168"/>
    <w:bookmarkStart w:id="169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работы мы изучили возможности работы с таблицами в LaTeX. Освоили:</w:t>
      </w:r>
    </w:p>
    <w:p>
      <w:pPr>
        <w:pStyle w:val="Compact"/>
        <w:numPr>
          <w:ilvl w:val="0"/>
          <w:numId w:val="1003"/>
        </w:numPr>
      </w:pPr>
      <w:r>
        <w:t xml:space="preserve">Базовое создание таблиц с помощью окружения</w:t>
      </w:r>
      <w:r>
        <w:t xml:space="preserve"> </w:t>
      </w:r>
      <w:r>
        <w:rPr>
          <w:rStyle w:val="VerbatimChar"/>
        </w:rPr>
        <w:t xml:space="preserve">tabular</w:t>
      </w:r>
    </w:p>
    <w:p>
      <w:pPr>
        <w:pStyle w:val="Compact"/>
        <w:numPr>
          <w:ilvl w:val="0"/>
          <w:numId w:val="1003"/>
        </w:numPr>
      </w:pPr>
      <w:r>
        <w:t xml:space="preserve">Различные типы колонок: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p{width}</w:t>
      </w:r>
    </w:p>
    <w:p>
      <w:pPr>
        <w:pStyle w:val="Compact"/>
        <w:numPr>
          <w:ilvl w:val="0"/>
          <w:numId w:val="1003"/>
        </w:numPr>
      </w:pPr>
      <w:r>
        <w:t xml:space="preserve">Решение проблем с переполнением текста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пакета</w:t>
      </w:r>
      <w:r>
        <w:t xml:space="preserve"> </w:t>
      </w:r>
      <w:r>
        <w:rPr>
          <w:rStyle w:val="VerbatimChar"/>
        </w:rPr>
        <w:t xml:space="preserve">booktabs</w:t>
      </w:r>
      <w:r>
        <w:t xml:space="preserve"> </w:t>
      </w:r>
      <w:r>
        <w:t xml:space="preserve">для профессионального оформления</w:t>
      </w:r>
    </w:p>
    <w:p>
      <w:pPr>
        <w:pStyle w:val="Compact"/>
        <w:numPr>
          <w:ilvl w:val="0"/>
          <w:numId w:val="1003"/>
        </w:numPr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toprule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bottomrule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cmidrule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addlinespace</w:t>
      </w:r>
    </w:p>
    <w:p>
      <w:pPr>
        <w:pStyle w:val="Compact"/>
        <w:numPr>
          <w:ilvl w:val="0"/>
          <w:numId w:val="1003"/>
        </w:numPr>
      </w:pPr>
      <w:r>
        <w:t xml:space="preserve">Объединение ячеек с помощью</w:t>
      </w:r>
      <w:r>
        <w:t xml:space="preserve"> </w:t>
      </w:r>
      <w:r>
        <w:rPr>
          <w:rStyle w:val="VerbatimChar"/>
        </w:rPr>
        <w:t xml:space="preserve">multicolumn</w:t>
      </w:r>
    </w:p>
    <w:p>
      <w:pPr>
        <w:pStyle w:val="Compact"/>
        <w:numPr>
          <w:ilvl w:val="0"/>
          <w:numId w:val="1003"/>
        </w:numPr>
      </w:pPr>
      <w:r>
        <w:t xml:space="preserve">Стилизацию колонок и настройку пространства</w:t>
      </w:r>
    </w:p>
    <w:p>
      <w:pPr>
        <w:pStyle w:val="Compact"/>
        <w:numPr>
          <w:ilvl w:val="0"/>
          <w:numId w:val="1003"/>
        </w:numPr>
      </w:pPr>
      <w:r>
        <w:t xml:space="preserve">Числовое выравнивание с пакетом</w:t>
      </w:r>
      <w:r>
        <w:t xml:space="preserve"> </w:t>
      </w:r>
      <w:r>
        <w:rPr>
          <w:rStyle w:val="VerbatimChar"/>
        </w:rPr>
        <w:t xml:space="preserve">siunitx</w:t>
      </w:r>
    </w:p>
    <w:p>
      <w:pPr>
        <w:pStyle w:val="Compact"/>
        <w:numPr>
          <w:ilvl w:val="0"/>
          <w:numId w:val="1003"/>
        </w:numPr>
      </w:pPr>
      <w:r>
        <w:t xml:space="preserve">Управление шириной таблиц с</w:t>
      </w:r>
      <w:r>
        <w:t xml:space="preserve"> </w:t>
      </w:r>
      <w:r>
        <w:rPr>
          <w:rStyle w:val="VerbatimChar"/>
        </w:rPr>
        <w:t xml:space="preserve">tabular*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tabularx</w:t>
      </w:r>
    </w:p>
    <w:p>
      <w:pPr>
        <w:pStyle w:val="Compact"/>
        <w:numPr>
          <w:ilvl w:val="0"/>
          <w:numId w:val="1003"/>
        </w:numPr>
      </w:pPr>
      <w:r>
        <w:t xml:space="preserve">Создание многостраничных таблиц с</w:t>
      </w:r>
      <w:r>
        <w:t xml:space="preserve"> </w:t>
      </w:r>
      <w:r>
        <w:rPr>
          <w:rStyle w:val="VerbatimChar"/>
        </w:rPr>
        <w:t xml:space="preserve">longtable</w:t>
      </w:r>
    </w:p>
    <w:p>
      <w:pPr>
        <w:pStyle w:val="Compact"/>
        <w:numPr>
          <w:ilvl w:val="0"/>
          <w:numId w:val="1003"/>
        </w:numPr>
      </w:pPr>
      <w:r>
        <w:t xml:space="preserve">Добавление примечаний с</w:t>
      </w:r>
      <w:r>
        <w:t xml:space="preserve"> </w:t>
      </w:r>
      <w:r>
        <w:rPr>
          <w:rStyle w:val="VerbatimChar"/>
        </w:rPr>
        <w:t xml:space="preserve">threeparttable</w:t>
      </w:r>
    </w:p>
    <w:p>
      <w:pPr>
        <w:pStyle w:val="Compact"/>
        <w:numPr>
          <w:ilvl w:val="0"/>
          <w:numId w:val="1003"/>
        </w:numPr>
      </w:pPr>
      <w:r>
        <w:t xml:space="preserve">Определение пользовательских типов колонок</w:t>
      </w:r>
    </w:p>
    <w:p>
      <w:pPr>
        <w:pStyle w:val="Compact"/>
        <w:numPr>
          <w:ilvl w:val="0"/>
          <w:numId w:val="1003"/>
        </w:numPr>
      </w:pPr>
      <w:r>
        <w:t xml:space="preserve">Настройку межстрочного интервала</w:t>
      </w:r>
    </w:p>
    <w:p>
      <w:pPr>
        <w:pStyle w:val="FirstParagraph"/>
      </w:pPr>
      <w:r>
        <w:t xml:space="preserve">Особое внимание было уделено практическим примерам и упражнениям, которые помогли закрепить полученные знания.</w:t>
      </w:r>
    </w:p>
    <w:bookmarkEnd w:id="169"/>
    <w:bookmarkStart w:id="173" w:name="список-литературы"/>
    <w:p>
      <w:pPr>
        <w:pStyle w:val="Heading1"/>
      </w:pPr>
      <w:r>
        <w:t xml:space="preserve">Список литературы</w:t>
      </w:r>
    </w:p>
    <w:bookmarkStart w:id="172" w:name="refs"/>
    <w:bookmarkStart w:id="170" w:name="ref-kotelnikov_chebotaev_book_latex2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Котельников А.А., Чеботаев А.С.</w:t>
      </w:r>
      <w:r>
        <w:t xml:space="preserve"> </w:t>
      </w:r>
      <w:r>
        <w:t xml:space="preserve">LaTeX2 по-русски</w:t>
      </w:r>
      <w:r>
        <w:t xml:space="preserve">. 3-е изд. Новосибирск: Новосибирск, 2004. 496 с.</w:t>
      </w:r>
    </w:p>
    <w:bookmarkEnd w:id="170"/>
    <w:bookmarkStart w:id="171" w:name="ref-lvovsky_book_latex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Львовский С.М.</w:t>
      </w:r>
      <w:r>
        <w:t xml:space="preserve"> </w:t>
      </w:r>
      <w:r>
        <w:t xml:space="preserve">Набор и вёрстка в системе LaTeX</w:t>
      </w:r>
      <w:r>
        <w:t xml:space="preserve">. 3-е изд., испр. и доп. МЦНМО, 2003. 447 с.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8" Target="media/rId118.png" /><Relationship Type="http://schemas.openxmlformats.org/officeDocument/2006/relationships/image" Id="rId123" Target="media/rId123.png" /><Relationship Type="http://schemas.openxmlformats.org/officeDocument/2006/relationships/image" Id="rId128" Target="media/rId128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3" Target="media/rId1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Абрамян Артём Арменович</dc:creator>
  <dc:language>ru-RU</dc:language>
  <cp:keywords/>
  <dcterms:created xsi:type="dcterms:W3CDTF">2026-03-13T14:12:50Z</dcterms:created>
  <dcterms:modified xsi:type="dcterms:W3CDTF">2026-03-13T14:12:50Z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таблицами в LaTeX</vt:lpwstr>
  </property>
  <property fmtid="{D5CDD505-2E9C-101B-9397-08002B2CF9AE}" pid="16" name="toc-title">
    <vt:lpwstr>Содержание</vt:lpwstr>
  </property>
</Properties>
</file>