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  <Override PartName="/word/media/rId34.png" ContentType="image/png"/>
  <Override PartName="/word/media/rId4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Работа с библиографией в LaTeX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изучить возможности включения и манипулирования таблицами в LaTeX, освоить различные типы колон, научиться использовать правила.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примеры, приведенные в теоретической части.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Справочные базы данных обычно называются «файлами BibTeX» и имеют расширение .bib. Они содержат одну или несколько записей, по одной на каждую ссылку, и внутри каждой записи есть ряд полей.</w:t>
      </w:r>
      <w:r>
        <w:t xml:space="preserve"> </w:t>
      </w:r>
      <w:r>
        <w:t xml:space="preserve">Для работы с базами данных в LaTeX широко используются две системы: BibTeX и Biber. Biber используется только с пакетом LaTeX под названием biblatex, тогда как BibTeX используется либо без пакетов, либо с natbib.</w:t>
      </w:r>
    </w:p>
    <w:p>
      <w:pPr>
        <w:pStyle w:val="BodyText"/>
      </w:pPr>
      <w:r>
        <w:t xml:space="preserve">Более подробно про работу с бибилографией в LaTeX см. в</w:t>
      </w:r>
      <w:r>
        <w:t xml:space="preserve"> </w:t>
      </w:r>
      <w:r>
        <w:t xml:space="preserve">[1,2]</w:t>
      </w:r>
      <w:r>
        <w:t xml:space="preserve">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справочные-базы-данных"/>
    <w:p>
      <w:pPr>
        <w:pStyle w:val="Heading2"/>
      </w:pPr>
      <w:r>
        <w:t xml:space="preserve">4.1 Справочные базы данных</w:t>
      </w:r>
    </w:p>
    <w:p>
      <w:pPr>
        <w:pStyle w:val="FirstParagraph"/>
      </w:pPr>
      <w:r>
        <w:t xml:space="preserve">Справочные базы данных обычно называются «файлами BibTeX» и имеют расширение .bib. Они содержат одну или несколько записей, по одной на каждую ссылку, и внутри каждой записи есть ряд полей.</w:t>
      </w:r>
      <w:r>
        <w:t xml:space="preserve"> </w:t>
      </w:r>
      <w:r>
        <w:t xml:space="preserve">Сохраним такой файл с данными.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 пример файла с данными.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40250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2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 с данными</w:t>
            </w:r>
          </w:p>
          <w:bookmarkEnd w:id="26"/>
        </w:tc>
      </w:tr>
    </w:tbl>
    <w:bookmarkEnd w:id="27"/>
    <w:bookmarkStart w:id="28" w:name="перенос-информации-из-базы-данных"/>
    <w:p>
      <w:pPr>
        <w:pStyle w:val="Heading2"/>
      </w:pPr>
      <w:r>
        <w:t xml:space="preserve">4.2 Перенос информации из базы данных</w:t>
      </w:r>
    </w:p>
    <w:p>
      <w:pPr>
        <w:pStyle w:val="FirstParagraph"/>
      </w:pPr>
      <w:r>
        <w:t xml:space="preserve">Чтобы добавить информацию в документ, нужно выполнить три шага. Во-первых, используйте LaTeX для компиляции документа, что создаст файл со списком ссылок,</w:t>
      </w:r>
      <w:r>
        <w:t xml:space="preserve"> </w:t>
      </w:r>
      <w:r>
        <w:t xml:space="preserve">на которые ссылается ваш документ. Во-вторых, запустите программу, которая извлекает информацию из базы данных,</w:t>
      </w:r>
      <w:r>
        <w:t xml:space="preserve"> </w:t>
      </w:r>
      <w:r>
        <w:t xml:space="preserve">выбирает используемые вами ссылки и упорядочивает их. Наконец,</w:t>
      </w:r>
      <w:r>
        <w:t xml:space="preserve"> </w:t>
      </w:r>
      <w:r>
        <w:t xml:space="preserve">снова скомпилируйте документ, чтобы LaTeX мог использовать эту информацию для</w:t>
      </w:r>
      <w:r>
        <w:t xml:space="preserve"> </w:t>
      </w:r>
      <w:r>
        <w:t xml:space="preserve">обработки ваших ссылок. Обычно требуется как минимум две компиляции для обработки всех</w:t>
      </w:r>
      <w:r>
        <w:t xml:space="preserve"> </w:t>
      </w:r>
      <w:r>
        <w:t xml:space="preserve">ссылок.</w:t>
      </w:r>
      <w:r>
        <w:t xml:space="preserve"> </w:t>
      </w:r>
      <w:r>
        <w:t xml:space="preserve">Для второго шага широко используются две системы: BibTeX и Biber. Biber</w:t>
      </w:r>
      <w:r>
        <w:t xml:space="preserve"> </w:t>
      </w:r>
      <w:r>
        <w:t xml:space="preserve">используется только с пакетом LaTeX под названием biblatex, тогда как BibTeX используется</w:t>
      </w:r>
      <w:r>
        <w:t xml:space="preserve"> </w:t>
      </w:r>
      <w:r>
        <w:t xml:space="preserve">либо без пакетов, либо с natbib.</w:t>
      </w:r>
      <w:r>
        <w:t xml:space="preserve"> </w:t>
      </w:r>
      <w:r>
        <w:t xml:space="preserve">Запуск второго инструмента, а также LaTeX, обрабатывается по-разному в разных</w:t>
      </w:r>
      <w:r>
        <w:t xml:space="preserve"> </w:t>
      </w:r>
      <w:r>
        <w:t xml:space="preserve">редакторах. Для наших онлайн-примеров есть несколько «закулисных» скриптов, которые</w:t>
      </w:r>
      <w:r>
        <w:t xml:space="preserve"> </w:t>
      </w:r>
      <w:r>
        <w:t xml:space="preserve">делают всё за один раз. В вашем редакторе может быть всего одна кнопка «Выполнить», или вам</w:t>
      </w:r>
      <w:r>
        <w:t xml:space="preserve"> </w:t>
      </w:r>
      <w:r>
        <w:t xml:space="preserve">возможно, придётся вручную запускать BibTeX или Biber между запусками LaTeX.</w:t>
      </w:r>
      <w:r>
        <w:t xml:space="preserve"> </w:t>
      </w:r>
      <w:r>
        <w:t xml:space="preserve">Формат ссылок и библиографических ссылок не зависит от вашей базы данных BibTeX и</w:t>
      </w:r>
      <w:r>
        <w:t xml:space="preserve"> </w:t>
      </w:r>
      <w:r>
        <w:t xml:space="preserve">задаётся так называемым «стилем». Мы увидим, что они работают немного по-разному в</w:t>
      </w:r>
      <w:r>
        <w:t xml:space="preserve"> </w:t>
      </w:r>
      <w:r>
        <w:t xml:space="preserve">рабочем процессе BibTeX и biblatex, но общая идея остаётся неизменной: мы можем выбирать,</w:t>
      </w:r>
      <w:r>
        <w:t xml:space="preserve"> </w:t>
      </w:r>
      <w:r>
        <w:t xml:space="preserve">как будут выглядеть ссылки.</w:t>
      </w:r>
    </w:p>
    <w:bookmarkEnd w:id="28"/>
    <w:bookmarkStart w:id="33" w:name="рабочий-процесс-bibtex-с-natbib"/>
    <w:p>
      <w:pPr>
        <w:pStyle w:val="Heading2"/>
      </w:pPr>
      <w:r>
        <w:t xml:space="preserve">4.3 Рабочий процесс BibTeX с natbib</w:t>
      </w:r>
    </w:p>
    <w:p>
      <w:pPr>
        <w:pStyle w:val="FirstParagraph"/>
      </w:pPr>
      <w:r>
        <w:t xml:space="preserve">Хотя вставлять ссылки в документ LaTeX можно и без загрузки каких-либо пакетов, возможности этого довольно ограничены. Вместо этого мы воспользуемся пакетом natbib, который</w:t>
      </w:r>
      <w:r>
        <w:t xml:space="preserve"> </w:t>
      </w:r>
      <w:r>
        <w:t xml:space="preserve">позволяет создавать различные типы ссылок и имеет множество доступных стилей.</w:t>
      </w:r>
      <w:r>
        <w:t xml:space="preserve"> </w:t>
      </w:r>
      <w:r>
        <w:t xml:space="preserve">Базовая структура наших входных данных показана в этом примере 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 пример.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77746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7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Использование natbib</w:t>
            </w:r>
          </w:p>
          <w:bookmarkEnd w:id="32"/>
        </w:tc>
      </w:tr>
    </w:tbl>
    <w:bookmarkEnd w:id="33"/>
    <w:bookmarkStart w:id="38" w:name="рабочий-процесс-biblatex"/>
    <w:p>
      <w:pPr>
        <w:pStyle w:val="Heading2"/>
      </w:pPr>
      <w:r>
        <w:t xml:space="preserve">4.4 Рабочий процесс biblatex</w:t>
      </w:r>
    </w:p>
    <w:p>
      <w:pPr>
        <w:pStyle w:val="FirstParagraph"/>
      </w:pPr>
      <w:r>
        <w:t xml:space="preserve">Пакет biblatex работает несколько иначе, чем natbib, поскольку мы выбираем</w:t>
      </w:r>
      <w:r>
        <w:t xml:space="preserve"> </w:t>
      </w:r>
      <w:r>
        <w:t xml:space="preserve">базы данных в преамбуле, но печатаем их в теле документа. Для этого есть несколько</w:t>
      </w:r>
      <w:r>
        <w:t xml:space="preserve"> </w:t>
      </w:r>
      <w:r>
        <w:t xml:space="preserve">новых команд.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60674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fig0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Использование biblatex</w:t>
            </w:r>
          </w:p>
          <w:bookmarkEnd w:id="37"/>
        </w:tc>
      </w:tr>
    </w:tbl>
    <w:p>
      <w:pPr>
        <w:pStyle w:val="BodyText"/>
      </w:pPr>
      <w:r>
        <w:t xml:space="preserve">Обратите внимание, что addbibresource требует полного имени файла базы данных, тогда как мы</w:t>
      </w:r>
      <w:r>
        <w:t xml:space="preserve"> </w:t>
      </w:r>
      <w:r>
        <w:t xml:space="preserve">опустили расширение .bib для bibliography с natbib. Также обратите внимание, что biblatex</w:t>
      </w:r>
      <w:r>
        <w:t xml:space="preserve"> </w:t>
      </w:r>
      <w:r>
        <w:t xml:space="preserve">использует довольно длинные имена для своих команд цитирования, но все они довольно легко</w:t>
      </w:r>
      <w:r>
        <w:t xml:space="preserve"> </w:t>
      </w:r>
      <w:r>
        <w:t xml:space="preserve">угадываются.</w:t>
      </w:r>
      <w:r>
        <w:t xml:space="preserve"> </w:t>
      </w:r>
      <w:r>
        <w:t xml:space="preserve">Опять же, короткий текст до и после ссылки можно вставить с помощью необязательных</w:t>
      </w:r>
      <w:r>
        <w:t xml:space="preserve"> </w:t>
      </w:r>
      <w:r>
        <w:t xml:space="preserve">аргументов. Обратите внимание, что номера страниц не обязательно должны иметь префикс p.~ или pp.~,</w:t>
      </w:r>
      <w:r>
        <w:t xml:space="preserve"> </w:t>
      </w:r>
      <w:r>
        <w:t xml:space="preserve">biblatex может автоматически добавить соответствующий префикс.</w:t>
      </w:r>
      <w:r>
        <w:t xml:space="preserve"> </w:t>
      </w:r>
      <w:r>
        <w:t xml:space="preserve">В biblatex стиль ссылки выбирается при загрузке пакета. Здесь мы</w:t>
      </w:r>
      <w:r>
        <w:t xml:space="preserve"> </w:t>
      </w:r>
      <w:r>
        <w:t xml:space="preserve">использовали authoryear, но есть и числовой стиль, а также множество других.</w:t>
      </w:r>
    </w:p>
    <w:bookmarkEnd w:id="38"/>
    <w:bookmarkStart w:id="39" w:name="выбор-между-bibtex-и-biblatex"/>
    <w:p>
      <w:pPr>
        <w:pStyle w:val="Heading2"/>
      </w:pPr>
      <w:r>
        <w:t xml:space="preserve">4.5 Выбор между BibTeX и BibLaTeX</w:t>
      </w:r>
    </w:p>
    <w:p>
      <w:pPr>
        <w:pStyle w:val="FirstParagraph"/>
      </w:pPr>
      <w:r>
        <w:t xml:space="preserve">Несмотря на то, что и рабочий процесс BibTeX, и biblatex получают входные данные через BibTeX-файлы и могут создавать структурно схожие выходные данные в документе, они используют совершенно разные способы получения этого результата. Это означает, что между двумя подходами есть некоторые различия, которые могут помочь вам выбрать наиболее подходящий для вас.</w:t>
      </w:r>
      <w:r>
        <w:t xml:space="preserve"> </w:t>
      </w:r>
      <w:r>
        <w:t xml:space="preserve">В рабочем процессе BibTeX стиль библиографии в конечном итоге определяется файлом .bst,</w:t>
      </w:r>
      <w:r>
        <w:t xml:space="preserve"> </w:t>
      </w:r>
      <w:r>
        <w:t xml:space="preserve">который вы выбираете с помощью команды bibliographystyle. biblatex не</w:t>
      </w:r>
      <w:r>
        <w:t xml:space="preserve"> </w:t>
      </w:r>
      <w:r>
        <w:t xml:space="preserve">использует файлы .bst и использует другую систему. Если вы используете шаблон, который поставляется с файлом .bst или вам предоставлен файл .bst для вашего проекта, вы должны использовать рабочий процесс BibTeX и не можете использовать biblatex.</w:t>
      </w:r>
      <w:r>
        <w:t xml:space="preserve"> </w:t>
      </w:r>
      <w:r>
        <w:t xml:space="preserve">Различный подход, используемый biblatex, подразумевает, что вы можете изменять вывод команд библиографии и цитирования непосредственно из преамбулы документа с помощью команд на основе LaTeX. С другой стороны, модификации стилей BibTeX .bst</w:t>
      </w:r>
      <w:r>
        <w:t xml:space="preserve"> </w:t>
      </w:r>
      <w:r>
        <w:t xml:space="preserve">обычно требуют работы с этими внешними файлами и знания</w:t>
      </w:r>
      <w:r>
        <w:t xml:space="preserve"> </w:t>
      </w:r>
      <w:r>
        <w:t xml:space="preserve">языка программирования BibTeX. Как правило, biblatex считается</w:t>
      </w:r>
      <w:r>
        <w:t xml:space="preserve"> </w:t>
      </w:r>
      <w:r>
        <w:t xml:space="preserve">проще в настройке, чем рабочий процесс BibTeX.</w:t>
      </w:r>
      <w:r>
        <w:t xml:space="preserve"> </w:t>
      </w:r>
      <w:r>
        <w:t xml:space="preserve">В biblatex, как правило, проще реализовать более сложные стили цитирования с</w:t>
      </w:r>
      <w:r>
        <w:t xml:space="preserve"> </w:t>
      </w:r>
      <w:r>
        <w:t xml:space="preserve">более широким набором различных команд цитирования. Он также предлагает больше контекстно-зависимых</w:t>
      </w:r>
      <w:r>
        <w:t xml:space="preserve"> </w:t>
      </w:r>
      <w:r>
        <w:t xml:space="preserve">функций. Грубо говоря, это менее интересно для стилей, распространённых во многих</w:t>
      </w:r>
      <w:r>
        <w:t xml:space="preserve"> </w:t>
      </w:r>
      <w:r>
        <w:t xml:space="preserve">предметах STEM, но становится актуальным для некоторых более сложных стилей в некоторых областях</w:t>
      </w:r>
      <w:r>
        <w:t xml:space="preserve"> </w:t>
      </w:r>
      <w:r>
        <w:t xml:space="preserve">гуманитарных наук.</w:t>
      </w:r>
      <w:r>
        <w:t xml:space="preserve"> </w:t>
      </w:r>
      <w:r>
        <w:t xml:space="preserve">BibTeX может корректно сортировать только символы US-ASCII и использует обходные пути для</w:t>
      </w:r>
      <w:r>
        <w:t xml:space="preserve"> </w:t>
      </w:r>
      <w:r>
        <w:t xml:space="preserve">обеспечения сортировки на основе US-ASCII для символов, не входящих в US-ASCII. Благодаря Biber, biblatex предлагает все возможности сортировки в Unicode. Таким образом, biblatex обычно является лучшим</w:t>
      </w:r>
      <w:r>
        <w:t xml:space="preserve"> </w:t>
      </w:r>
      <w:r>
        <w:t xml:space="preserve">выбором, если вы хотите отсортировать библиографию в порядке «не ASCII/не английский». Рабочий процесс BibTeX, существующий гораздо дольше, чем biblatex, более</w:t>
      </w:r>
      <w:r>
        <w:t xml:space="preserve"> </w:t>
      </w:r>
      <w:r>
        <w:t xml:space="preserve">устоявшийся, чем biblatex, а это означает, что многие издательства и журналы ожидают</w:t>
      </w:r>
      <w:r>
        <w:t xml:space="preserve"> </w:t>
      </w:r>
      <w:r>
        <w:t xml:space="preserve">библиографии, созданные с помощью рабочего процесса BibTeX. Эти издательства не могут или, как правило, не принимают материалы, созданные с помощью biblatex.</w:t>
      </w:r>
      <w:r>
        <w:t xml:space="preserve"> </w:t>
      </w:r>
      <w:r>
        <w:t xml:space="preserve">Суть в следующем: проверьте правила для авторов/подачи материалов, если вы отправляете</w:t>
      </w:r>
      <w:r>
        <w:t xml:space="preserve"> </w:t>
      </w:r>
      <w:r>
        <w:t xml:space="preserve">работу в журнал или издательство. Если вам предоставлен файл .bst, вам необходимо использовать рабочий процесс BibTeX. Если вам нужен относительно простой стиль библиографии и цитирования и</w:t>
      </w:r>
      <w:r>
        <w:t xml:space="preserve"> </w:t>
      </w:r>
      <w:r>
        <w:t xml:space="preserve">нужна сортировка только на основе английской кодировки US-ASCII, рабочего процесса BibTeX должно быть достаточно. Если вам</w:t>
      </w:r>
      <w:r>
        <w:t xml:space="preserve"> </w:t>
      </w:r>
      <w:r>
        <w:t xml:space="preserve">нужен более сложный стиль цитирования, сортировка не на английском языке или более простой доступ к</w:t>
      </w:r>
      <w:r>
        <w:t xml:space="preserve"> </w:t>
      </w:r>
      <w:r>
        <w:t xml:space="preserve">функциям настройки стиля цитирования и библиографии, вам стоит рассмотреть возможность использования biblatex.</w:t>
      </w:r>
    </w:p>
    <w:bookmarkEnd w:id="39"/>
    <w:bookmarkStart w:id="40" w:name="X15093dacc7647ded0d023dc3bd6f3ec111f43bd"/>
    <w:p>
      <w:pPr>
        <w:pStyle w:val="Heading2"/>
      </w:pPr>
      <w:r>
        <w:t xml:space="preserve">4.6 Работа с сортировкой, отличной от английского</w:t>
      </w:r>
    </w:p>
    <w:p>
      <w:pPr>
        <w:pStyle w:val="FirstParagraph"/>
      </w:pPr>
      <w:r>
        <w:t xml:space="preserve">Программа BibTeX была написана в первую очередь для работы со ссылками на английском языке. Она</w:t>
      </w:r>
      <w:r>
        <w:t xml:space="preserve"> </w:t>
      </w:r>
      <w:r>
        <w:t xml:space="preserve">очень ограничена в обработке диакритических знаков и ещё более ограничена в работе с нелатинскими буквами. В отличие от этого, программа Biber изначально была написана для корректной работы</w:t>
      </w:r>
      <w:r>
        <w:t xml:space="preserve"> </w:t>
      </w:r>
      <w:r>
        <w:t xml:space="preserve">со смешанным алфавитом.</w:t>
      </w:r>
      <w:r>
        <w:t xml:space="preserve"> </w:t>
      </w:r>
      <w:r>
        <w:t xml:space="preserve">Это означает, что если вы сортируете библиографию и вам нужно отсортировать её в порядке, отличном от английского, вам действительно следует использовать biblatex и Biber,</w:t>
      </w:r>
      <w:r>
        <w:t xml:space="preserve"> </w:t>
      </w:r>
      <w:r>
        <w:t xml:space="preserve">а не natbib и BibTeX.</w:t>
      </w:r>
    </w:p>
    <w:bookmarkEnd w:id="40"/>
    <w:bookmarkStart w:id="41" w:name="гиперссылки"/>
    <w:p>
      <w:pPr>
        <w:pStyle w:val="Heading2"/>
      </w:pPr>
      <w:r>
        <w:t xml:space="preserve">4.7 Гиперссылки</w:t>
      </w:r>
    </w:p>
    <w:p>
      <w:pPr>
        <w:pStyle w:val="FirstParagraph"/>
      </w:pPr>
      <w:r>
        <w:t xml:space="preserve">Если вы загрузите пакет hyperref, он автоматически преобразует часть контента вашей библиографии в ссылки. Это особенно полезно для URL-адресов и DOI.</w:t>
      </w:r>
    </w:p>
    <w:bookmarkEnd w:id="41"/>
    <w:bookmarkStart w:id="42" w:name="различия-в-практике-ввода-bibtex"/>
    <w:p>
      <w:pPr>
        <w:pStyle w:val="Heading2"/>
      </w:pPr>
      <w:r>
        <w:t xml:space="preserve">4.8 Различия в практике ввода BibTeX</w:t>
      </w:r>
    </w:p>
    <w:p>
      <w:pPr>
        <w:pStyle w:val="FirstParagraph"/>
      </w:pPr>
      <w:r>
        <w:t xml:space="preserve">Хотя общий синтаксис файлов BibTeX одинаков, независимо от того, используете ли вы рабочий процесс BibTeX или biblatex, набор поддерживаемых полей (используемых стилем) и их точное значение могут различаться не только между рабочим процессом BibTeX и biblatex,</w:t>
      </w:r>
      <w:r>
        <w:t xml:space="preserve"> </w:t>
      </w:r>
      <w:r>
        <w:t xml:space="preserve">но и между разными стилями BibTeX. Большой «основной набор» типов записей и полей</w:t>
      </w:r>
      <w:r>
        <w:t xml:space="preserve"> </w:t>
      </w:r>
      <w:r>
        <w:t xml:space="preserve">одинаков почти для всех стилей, но в некоторых полях есть различия.</w:t>
      </w:r>
      <w:r>
        <w:t xml:space="preserve"> </w:t>
      </w:r>
      <w:r>
        <w:t xml:space="preserve">Распространённым примером является URL. Некоторые старые стили BibTeX .bst (в первую очередь «стандартные стили BibTeX», например, plain.bst, unsrt.bst и т. д.) появились ещё до изобретения URL и не имеют отдельного поля для URL-адреса онлайн-ресурса. Многие более новые</w:t>
      </w:r>
      <w:r>
        <w:t xml:space="preserve"> </w:t>
      </w:r>
      <w:r>
        <w:t xml:space="preserve">стили имеют отдельное поле URL. Обходной путь для отображения URL в старых</w:t>
      </w:r>
      <w:r>
        <w:t xml:space="preserve"> </w:t>
      </w:r>
      <w:r>
        <w:t xml:space="preserve">стилях обычно заключается в использовании поля howpublished, но в новых стилях, конечно,</w:t>
      </w:r>
      <w:r>
        <w:t xml:space="preserve"> </w:t>
      </w:r>
      <w:r>
        <w:t xml:space="preserve">предпочтительнее использовать специальное поле URL.</w:t>
      </w:r>
      <w:r>
        <w:t xml:space="preserve"> </w:t>
      </w:r>
      <w:r>
        <w:t xml:space="preserve">Чтобы использовать весь потенциал используемого вами стиля, вам нужно</w:t>
      </w:r>
      <w:r>
        <w:t xml:space="preserve"> </w:t>
      </w:r>
      <w:r>
        <w:t xml:space="preserve">узнать, какой набор полей он поддерживает и каково их семантическое значение.</w:t>
      </w:r>
    </w:p>
    <w:bookmarkEnd w:id="42"/>
    <w:bookmarkEnd w:id="43"/>
    <w:bookmarkStart w:id="54" w:name="упражнения"/>
    <w:p>
      <w:pPr>
        <w:pStyle w:val="Heading1"/>
      </w:pPr>
      <w:r>
        <w:t xml:space="preserve">5. Упражнения</w:t>
      </w:r>
    </w:p>
    <w:bookmarkStart w:id="48" w:name="Xa383de6e7b4c0891bb4c4484d739b525fc93caa"/>
    <w:p>
      <w:pPr>
        <w:pStyle w:val="Heading2"/>
      </w:pPr>
      <w:r>
        <w:t xml:space="preserve">5.1 Add a citation that’s not in the database and see how it appears.</w:t>
      </w:r>
    </w:p>
    <w:p>
      <w:pPr>
        <w:pStyle w:val="FirstParagraph"/>
      </w:pPr>
      <w:r>
        <w:t xml:space="preserve">Отсутствующая цитата выделяется жирным.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85493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fig0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4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цитаты, котороый нет в базе</w:t>
            </w:r>
          </w:p>
          <w:bookmarkEnd w:id="47"/>
        </w:tc>
      </w:tr>
    </w:tbl>
    <w:bookmarkEnd w:id="48"/>
    <w:bookmarkStart w:id="53" w:name="Xe7308833a4d657e92475c2ae5851c330bf9a532"/>
    <w:p>
      <w:pPr>
        <w:pStyle w:val="Heading2"/>
      </w:pPr>
      <w:r>
        <w:t xml:space="preserve">5.2 Experiment with natbib’s numeric and biblatex’s style=numeric option.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4"/>
          <w:p>
            <w:pPr>
              <w:pStyle w:val="Compact"/>
              <w:jc w:val="center"/>
            </w:pPr>
            <w:r>
              <w:drawing>
                <wp:inline>
                  <wp:extent cx="3733800" cy="112165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04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1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numeric стиль</w:t>
            </w:r>
          </w:p>
          <w:bookmarkEnd w:id="52"/>
        </w:tc>
      </w:tr>
    </w:tbl>
    <w:bookmarkEnd w:id="53"/>
    <w:bookmarkEnd w:id="54"/>
    <w:bookmarkStart w:id="5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данной работы мы изучили возможности работы с таблицами в LaTeX. Освоили:</w:t>
      </w:r>
    </w:p>
    <w:p>
      <w:pPr>
        <w:pStyle w:val="Compact"/>
        <w:numPr>
          <w:ilvl w:val="0"/>
          <w:numId w:val="1002"/>
        </w:numPr>
      </w:pPr>
      <w:r>
        <w:t xml:space="preserve">Базовое создание таблиц с помощью окружения</w:t>
      </w:r>
      <w:r>
        <w:t xml:space="preserve"> </w:t>
      </w:r>
      <w:r>
        <w:rPr>
          <w:rStyle w:val="VerbatimChar"/>
        </w:rPr>
        <w:t xml:space="preserve">tabular</w:t>
      </w:r>
    </w:p>
    <w:p>
      <w:pPr>
        <w:pStyle w:val="Compact"/>
        <w:numPr>
          <w:ilvl w:val="0"/>
          <w:numId w:val="1002"/>
        </w:numPr>
      </w:pPr>
      <w:r>
        <w:t xml:space="preserve">Различные типы колонок: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p{width}</w:t>
      </w:r>
    </w:p>
    <w:p>
      <w:pPr>
        <w:pStyle w:val="Compact"/>
        <w:numPr>
          <w:ilvl w:val="0"/>
          <w:numId w:val="1002"/>
        </w:numPr>
      </w:pPr>
      <w:r>
        <w:t xml:space="preserve">Решение проблем с переполнением текста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для профессионального оформления</w:t>
      </w:r>
    </w:p>
    <w:p>
      <w:pPr>
        <w:pStyle w:val="Compact"/>
        <w:numPr>
          <w:ilvl w:val="0"/>
          <w:numId w:val="1002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addlinespace</w:t>
      </w:r>
    </w:p>
    <w:p>
      <w:pPr>
        <w:pStyle w:val="Compact"/>
        <w:numPr>
          <w:ilvl w:val="0"/>
          <w:numId w:val="1002"/>
        </w:numPr>
      </w:pPr>
      <w:r>
        <w:t xml:space="preserve">Объединение ячеек с помощью</w:t>
      </w:r>
      <w:r>
        <w:t xml:space="preserve"> </w:t>
      </w:r>
      <w:r>
        <w:rPr>
          <w:rStyle w:val="VerbatimChar"/>
        </w:rPr>
        <w:t xml:space="preserve">multicolumn</w:t>
      </w:r>
    </w:p>
    <w:p>
      <w:pPr>
        <w:pStyle w:val="Compact"/>
        <w:numPr>
          <w:ilvl w:val="0"/>
          <w:numId w:val="1002"/>
        </w:numPr>
      </w:pPr>
      <w:r>
        <w:t xml:space="preserve">Стилизацию колонок и настройку пространства</w:t>
      </w:r>
    </w:p>
    <w:p>
      <w:pPr>
        <w:pStyle w:val="Compact"/>
        <w:numPr>
          <w:ilvl w:val="0"/>
          <w:numId w:val="1002"/>
        </w:numPr>
      </w:pPr>
      <w:r>
        <w:t xml:space="preserve">Числовое выравнивание с пакетом</w:t>
      </w:r>
      <w:r>
        <w:t xml:space="preserve"> </w:t>
      </w:r>
      <w:r>
        <w:rPr>
          <w:rStyle w:val="VerbatimChar"/>
        </w:rPr>
        <w:t xml:space="preserve">siunitx</w:t>
      </w:r>
    </w:p>
    <w:p>
      <w:pPr>
        <w:pStyle w:val="Compact"/>
        <w:numPr>
          <w:ilvl w:val="0"/>
          <w:numId w:val="1002"/>
        </w:numPr>
      </w:pPr>
      <w:r>
        <w:t xml:space="preserve">Управление шириной таблиц с</w:t>
      </w:r>
      <w:r>
        <w:t xml:space="preserve"> </w:t>
      </w:r>
      <w:r>
        <w:rPr>
          <w:rStyle w:val="VerbatimChar"/>
        </w:rPr>
        <w:t xml:space="preserve">tabular*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tabularx</w:t>
      </w:r>
    </w:p>
    <w:p>
      <w:pPr>
        <w:pStyle w:val="Compact"/>
        <w:numPr>
          <w:ilvl w:val="0"/>
          <w:numId w:val="1002"/>
        </w:numPr>
      </w:pPr>
      <w:r>
        <w:t xml:space="preserve">Создание многостраничных таблиц с</w:t>
      </w:r>
      <w:r>
        <w:t xml:space="preserve"> </w:t>
      </w:r>
      <w:r>
        <w:rPr>
          <w:rStyle w:val="VerbatimChar"/>
        </w:rPr>
        <w:t xml:space="preserve">longtable</w:t>
      </w:r>
    </w:p>
    <w:p>
      <w:pPr>
        <w:pStyle w:val="Compact"/>
        <w:numPr>
          <w:ilvl w:val="0"/>
          <w:numId w:val="1002"/>
        </w:numPr>
      </w:pPr>
      <w:r>
        <w:t xml:space="preserve">Добавление примечаний с</w:t>
      </w:r>
      <w:r>
        <w:t xml:space="preserve"> </w:t>
      </w:r>
      <w:r>
        <w:rPr>
          <w:rStyle w:val="VerbatimChar"/>
        </w:rPr>
        <w:t xml:space="preserve">threeparttable</w:t>
      </w:r>
    </w:p>
    <w:p>
      <w:pPr>
        <w:pStyle w:val="Compact"/>
        <w:numPr>
          <w:ilvl w:val="0"/>
          <w:numId w:val="1002"/>
        </w:numPr>
      </w:pPr>
      <w:r>
        <w:t xml:space="preserve">Определение пользовательских типов колонок</w:t>
      </w:r>
    </w:p>
    <w:p>
      <w:pPr>
        <w:pStyle w:val="Compact"/>
        <w:numPr>
          <w:ilvl w:val="0"/>
          <w:numId w:val="1002"/>
        </w:numPr>
      </w:pPr>
      <w:r>
        <w:t xml:space="preserve">Настройку межстрочного интервала</w:t>
      </w:r>
    </w:p>
    <w:p>
      <w:pPr>
        <w:pStyle w:val="FirstParagraph"/>
      </w:pPr>
      <w:r>
        <w:t xml:space="preserve">Особое внимание было уделено практическим примерам и упражнениям, которые помогли закрепить полученные знания.</w:t>
      </w:r>
    </w:p>
    <w:bookmarkEnd w:id="55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Start w:id="56" w:name="ref-kotelnikov_chebotaev_book_latex2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Котельников А.А., Чеботаев А.С.</w:t>
      </w:r>
      <w:r>
        <w:t xml:space="preserve"> </w:t>
      </w:r>
      <w:r>
        <w:t xml:space="preserve">LaTeX2 по-русски</w:t>
      </w:r>
      <w:r>
        <w:t xml:space="preserve">. 3-е изд. Новосибирск: Новосибирск, 2004. 496 с.</w:t>
      </w:r>
    </w:p>
    <w:bookmarkEnd w:id="56"/>
    <w:bookmarkStart w:id="57" w:name="ref-lvovsky_book_latex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Львовский С.М.</w:t>
      </w:r>
      <w:r>
        <w:t xml:space="preserve"> </w:t>
      </w:r>
      <w:r>
        <w:t xml:space="preserve">Набор и вёрстка в системе LaTeX</w:t>
      </w:r>
      <w:r>
        <w:t xml:space="preserve">. 3-е изд., испр. и доп. МЦНМО, 2003. 447 с.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9" Target="media/rId4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Абрамян Артём Арменович</dc:creator>
  <dc:language>ru-RU</dc:language>
  <cp:keywords/>
  <dcterms:created xsi:type="dcterms:W3CDTF">2026-03-13T14:13:38Z</dcterms:created>
  <dcterms:modified xsi:type="dcterms:W3CDTF">2026-03-13T14:13:38Z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библиографией в LaTeX</vt:lpwstr>
  </property>
  <property fmtid="{D5CDD505-2E9C-101B-9397-08002B2CF9AE}" pid="16" name="toc-title">
    <vt:lpwstr>Содержание</vt:lpwstr>
  </property>
</Properties>
</file>