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1EE6"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GLOBALTECH WORLD COMPUTER INSTITUTE</w:t>
      </w:r>
    </w:p>
    <w:p w14:paraId="6D0A4195"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CYBERSECURITY INTERNSHIP PROGRAMME</w:t>
      </w:r>
    </w:p>
    <w:p w14:paraId="520A369F" w14:textId="6CDE4920" w:rsidR="00297C62" w:rsidRDefault="00000000" w:rsidP="00297C62">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DELIVERY </w:t>
      </w:r>
      <w:r w:rsidR="00297C62">
        <w:rPr>
          <w:rFonts w:ascii="Times New Roman" w:eastAsia="Times New Roman" w:hAnsi="Times New Roman" w:cs="Times New Roman"/>
          <w:b/>
          <w:bCs/>
          <w:sz w:val="72"/>
          <w:szCs w:val="72"/>
        </w:rPr>
        <w:t>1</w:t>
      </w:r>
    </w:p>
    <w:p w14:paraId="6085BD40"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EXECUTIVE UNDERSTANDING REPORT</w:t>
      </w:r>
    </w:p>
    <w:p w14:paraId="05BA1DEA"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TO: Dr. GODWIN, CHIEF EXECUTIVE OFFICER AND CYBERSECURITY CONSULTANT </w:t>
      </w:r>
    </w:p>
    <w:p w14:paraId="501A4F6E"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TO: PROSPER ERONMOSELE, CHIEF INFORMATION SECURITY OFFICER (CISO)</w:t>
      </w:r>
    </w:p>
    <w:p w14:paraId="1C661C5C"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BY</w:t>
      </w:r>
    </w:p>
    <w:p w14:paraId="145AB065"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 UBANWOKE BLESSING CHIDINMA</w:t>
      </w:r>
    </w:p>
    <w:p w14:paraId="762DC44A" w14:textId="77777777" w:rsidR="000E6C29" w:rsidRDefault="00000000">
      <w:pPr>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DATE: 20 AUGUST 2026</w:t>
      </w:r>
    </w:p>
    <w:p w14:paraId="54D05486" w14:textId="77777777" w:rsidR="000E6C29" w:rsidRDefault="000E6C29">
      <w:pPr>
        <w:jc w:val="center"/>
        <w:rPr>
          <w:rFonts w:ascii="Times New Roman" w:eastAsia="Times New Roman" w:hAnsi="Times New Roman" w:cs="Times New Roman"/>
          <w:b/>
          <w:bCs/>
          <w:sz w:val="72"/>
          <w:szCs w:val="72"/>
        </w:rPr>
      </w:pPr>
    </w:p>
    <w:p w14:paraId="57478C71" w14:textId="77777777" w:rsidR="000E6C29" w:rsidRDefault="000E6C29">
      <w:pPr>
        <w:rPr>
          <w:rFonts w:ascii="Times New Roman" w:eastAsia="Times New Roman" w:hAnsi="Times New Roman" w:cs="Times New Roman"/>
          <w:b/>
          <w:bCs/>
          <w:sz w:val="72"/>
          <w:szCs w:val="72"/>
        </w:rPr>
      </w:pPr>
    </w:p>
    <w:p w14:paraId="6EE3BD3D" w14:textId="77777777" w:rsidR="000E6C29" w:rsidRDefault="000E6C29">
      <w:pPr>
        <w:rPr>
          <w:rFonts w:ascii="Times New Roman" w:eastAsia="Times New Roman" w:hAnsi="Times New Roman" w:cs="Times New Roman"/>
          <w:b/>
          <w:bCs/>
          <w:sz w:val="24"/>
          <w:szCs w:val="24"/>
        </w:rPr>
      </w:pPr>
    </w:p>
    <w:p w14:paraId="31DFC678" w14:textId="77777777" w:rsidR="000E6C29" w:rsidRDefault="000E6C29">
      <w:pPr>
        <w:rPr>
          <w:rFonts w:ascii="Times New Roman" w:eastAsia="Times New Roman" w:hAnsi="Times New Roman" w:cs="Times New Roman"/>
          <w:b/>
          <w:bCs/>
          <w:sz w:val="24"/>
          <w:szCs w:val="24"/>
        </w:rPr>
      </w:pPr>
    </w:p>
    <w:p w14:paraId="70CDC66D" w14:textId="77777777" w:rsidR="000E6C2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DELIVERY 1</w:t>
      </w:r>
    </w:p>
    <w:p w14:paraId="214245D3" w14:textId="77777777" w:rsidR="000E6C2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FRAMEWORKS AND STANDARDS </w:t>
      </w:r>
    </w:p>
    <w:tbl>
      <w:tblPr>
        <w:tblStyle w:val="a"/>
        <w:tblW w:w="159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6"/>
        <w:gridCol w:w="1433"/>
        <w:gridCol w:w="2091"/>
        <w:gridCol w:w="1545"/>
        <w:gridCol w:w="1410"/>
        <w:gridCol w:w="2430"/>
        <w:gridCol w:w="3765"/>
        <w:gridCol w:w="2610"/>
      </w:tblGrid>
      <w:tr w:rsidR="000E6C29" w14:paraId="25328435" w14:textId="77777777">
        <w:trPr>
          <w:jc w:val="center"/>
        </w:trPr>
        <w:tc>
          <w:tcPr>
            <w:tcW w:w="645" w:type="dxa"/>
            <w:tcMar>
              <w:top w:w="100" w:type="dxa"/>
              <w:left w:w="100" w:type="dxa"/>
              <w:bottom w:w="100" w:type="dxa"/>
              <w:right w:w="100" w:type="dxa"/>
            </w:tcMar>
          </w:tcPr>
          <w:p w14:paraId="067D7DC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w:t>
            </w:r>
          </w:p>
        </w:tc>
        <w:tc>
          <w:tcPr>
            <w:tcW w:w="1433" w:type="dxa"/>
            <w:tcMar>
              <w:top w:w="100" w:type="dxa"/>
              <w:left w:w="100" w:type="dxa"/>
              <w:bottom w:w="100" w:type="dxa"/>
              <w:right w:w="100" w:type="dxa"/>
            </w:tcMar>
          </w:tcPr>
          <w:p w14:paraId="17500C9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Framework/Standard</w:t>
            </w:r>
          </w:p>
        </w:tc>
        <w:tc>
          <w:tcPr>
            <w:tcW w:w="2091" w:type="dxa"/>
            <w:tcMar>
              <w:top w:w="100" w:type="dxa"/>
              <w:left w:w="100" w:type="dxa"/>
              <w:bottom w:w="100" w:type="dxa"/>
              <w:right w:w="100" w:type="dxa"/>
            </w:tcMar>
          </w:tcPr>
          <w:p w14:paraId="7500FFDB"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Issuing Body</w:t>
            </w:r>
          </w:p>
        </w:tc>
        <w:tc>
          <w:tcPr>
            <w:tcW w:w="1545" w:type="dxa"/>
            <w:tcMar>
              <w:top w:w="100" w:type="dxa"/>
              <w:left w:w="100" w:type="dxa"/>
              <w:bottom w:w="100" w:type="dxa"/>
              <w:right w:w="100" w:type="dxa"/>
            </w:tcMar>
          </w:tcPr>
          <w:p w14:paraId="42647B6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Geography Jurisdiction</w:t>
            </w:r>
          </w:p>
        </w:tc>
        <w:tc>
          <w:tcPr>
            <w:tcW w:w="1410" w:type="dxa"/>
            <w:tcMar>
              <w:top w:w="100" w:type="dxa"/>
              <w:left w:w="100" w:type="dxa"/>
              <w:bottom w:w="100" w:type="dxa"/>
              <w:right w:w="100" w:type="dxa"/>
            </w:tcMar>
          </w:tcPr>
          <w:p w14:paraId="23E00301"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Client Type(s) Governed</w:t>
            </w:r>
          </w:p>
        </w:tc>
        <w:tc>
          <w:tcPr>
            <w:tcW w:w="2430" w:type="dxa"/>
            <w:tcMar>
              <w:top w:w="100" w:type="dxa"/>
              <w:left w:w="100" w:type="dxa"/>
              <w:bottom w:w="100" w:type="dxa"/>
              <w:right w:w="100" w:type="dxa"/>
            </w:tcMar>
          </w:tcPr>
          <w:p w14:paraId="63E0013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Core Requirement (1-2 lines) </w:t>
            </w:r>
          </w:p>
        </w:tc>
        <w:tc>
          <w:tcPr>
            <w:tcW w:w="3765" w:type="dxa"/>
            <w:tcMar>
              <w:top w:w="100" w:type="dxa"/>
              <w:left w:w="100" w:type="dxa"/>
              <w:bottom w:w="100" w:type="dxa"/>
              <w:right w:w="100" w:type="dxa"/>
            </w:tcMar>
          </w:tcPr>
          <w:p w14:paraId="239CBD75"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it Applies to GlobalTechs Engagement</w:t>
            </w:r>
          </w:p>
        </w:tc>
        <w:tc>
          <w:tcPr>
            <w:tcW w:w="2610" w:type="dxa"/>
            <w:tcMar>
              <w:top w:w="100" w:type="dxa"/>
              <w:left w:w="100" w:type="dxa"/>
              <w:bottom w:w="100" w:type="dxa"/>
              <w:right w:w="100" w:type="dxa"/>
            </w:tcMar>
          </w:tcPr>
          <w:p w14:paraId="4F1CF6B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Source/Citation</w:t>
            </w:r>
          </w:p>
        </w:tc>
      </w:tr>
      <w:tr w:rsidR="000E6C29" w14:paraId="4B43812A" w14:textId="77777777">
        <w:trPr>
          <w:jc w:val="center"/>
        </w:trPr>
        <w:tc>
          <w:tcPr>
            <w:tcW w:w="645" w:type="dxa"/>
            <w:tcMar>
              <w:top w:w="100" w:type="dxa"/>
              <w:left w:w="100" w:type="dxa"/>
              <w:bottom w:w="100" w:type="dxa"/>
              <w:right w:w="100" w:type="dxa"/>
            </w:tcMar>
          </w:tcPr>
          <w:p w14:paraId="1E06AD0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33" w:type="dxa"/>
            <w:tcMar>
              <w:top w:w="100" w:type="dxa"/>
              <w:left w:w="100" w:type="dxa"/>
              <w:bottom w:w="100" w:type="dxa"/>
              <w:right w:w="100" w:type="dxa"/>
            </w:tcMar>
          </w:tcPr>
          <w:p w14:paraId="01290C90"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NIST-Cybersecurity framework (CSF). 0 </w:t>
            </w:r>
          </w:p>
        </w:tc>
        <w:tc>
          <w:tcPr>
            <w:tcW w:w="2091" w:type="dxa"/>
            <w:tcMar>
              <w:top w:w="100" w:type="dxa"/>
              <w:left w:w="100" w:type="dxa"/>
              <w:bottom w:w="100" w:type="dxa"/>
              <w:right w:w="100" w:type="dxa"/>
            </w:tcMar>
          </w:tcPr>
          <w:p w14:paraId="1ED39F12"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Standards and Technology (NIST), U.S. Department of Commerce </w:t>
            </w:r>
          </w:p>
        </w:tc>
        <w:tc>
          <w:tcPr>
            <w:tcW w:w="1545" w:type="dxa"/>
            <w:tcMar>
              <w:top w:w="100" w:type="dxa"/>
              <w:left w:w="100" w:type="dxa"/>
              <w:bottom w:w="100" w:type="dxa"/>
              <w:right w:w="100" w:type="dxa"/>
            </w:tcMar>
          </w:tcPr>
          <w:p w14:paraId="378A3634"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United States; internationally applicable</w:t>
            </w:r>
          </w:p>
        </w:tc>
        <w:tc>
          <w:tcPr>
            <w:tcW w:w="1410" w:type="dxa"/>
            <w:tcMar>
              <w:top w:w="100" w:type="dxa"/>
              <w:left w:w="100" w:type="dxa"/>
              <w:bottom w:w="100" w:type="dxa"/>
              <w:right w:w="100" w:type="dxa"/>
            </w:tcMar>
          </w:tcPr>
          <w:p w14:paraId="4C4E44DD"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Banking fintech, healthcare, industry and other organizations</w:t>
            </w:r>
          </w:p>
        </w:tc>
        <w:tc>
          <w:tcPr>
            <w:tcW w:w="2430" w:type="dxa"/>
            <w:tcMar>
              <w:top w:w="100" w:type="dxa"/>
              <w:left w:w="100" w:type="dxa"/>
              <w:bottom w:w="100" w:type="dxa"/>
              <w:right w:w="100" w:type="dxa"/>
            </w:tcMar>
          </w:tcPr>
          <w:p w14:paraId="71B4BDE1"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 structured way to manage cybersecurity risk through six functions: Govern, Identify, Protect, Detect, Respond, and Recover.</w:t>
            </w:r>
          </w:p>
        </w:tc>
        <w:tc>
          <w:tcPr>
            <w:tcW w:w="3765" w:type="dxa"/>
            <w:tcMar>
              <w:top w:w="100" w:type="dxa"/>
              <w:left w:w="100" w:type="dxa"/>
              <w:bottom w:w="100" w:type="dxa"/>
              <w:right w:w="100" w:type="dxa"/>
            </w:tcMar>
          </w:tcPr>
          <w:p w14:paraId="3DE55AA6"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GlobalTech can use CSF 2.0 to assess a client's current cybersecurity posture, identify gaps, prioritize risks, and communicate cybersecurity priorities to management. Its sector- and country-neutral design makes it adaptable to GlobalTech's different client environments.</w:t>
            </w:r>
          </w:p>
        </w:tc>
        <w:tc>
          <w:tcPr>
            <w:tcW w:w="2610" w:type="dxa"/>
            <w:tcMar>
              <w:top w:w="100" w:type="dxa"/>
              <w:left w:w="100" w:type="dxa"/>
              <w:bottom w:w="100" w:type="dxa"/>
              <w:right w:w="100" w:type="dxa"/>
            </w:tcMar>
          </w:tcPr>
          <w:p w14:paraId="22D35A2A"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NIST, </w:t>
            </w:r>
            <w:r>
              <w:rPr>
                <w:rFonts w:ascii="Times New Roman" w:eastAsia="Times New Roman" w:hAnsi="Times New Roman" w:cs="Times New Roman"/>
                <w:i/>
                <w:iCs/>
                <w:sz w:val="24"/>
                <w:szCs w:val="24"/>
              </w:rPr>
              <w:t>The NIST Cybersecurity Framework (CSF) 2.0</w:t>
            </w:r>
            <w:r>
              <w:rPr>
                <w:rFonts w:ascii="Times New Roman" w:eastAsia="Times New Roman" w:hAnsi="Times New Roman" w:cs="Times New Roman"/>
                <w:sz w:val="24"/>
                <w:szCs w:val="24"/>
              </w:rPr>
              <w:t>, 2024. https://tsapps.nist.gov/publication/get_pdf.cfm?</w:t>
            </w:r>
            <w:hyperlink r:id="rId7">
              <w:r>
                <w:rPr>
                  <w:rFonts w:ascii="Times New Roman" w:eastAsia="Times New Roman" w:hAnsi="Times New Roman" w:cs="Times New Roman"/>
                  <w:color w:val="1155CC"/>
                  <w:sz w:val="24"/>
                  <w:szCs w:val="24"/>
                  <w:u w:val="single"/>
                </w:rPr>
                <w:t>pub_id=957258&amp;utm_source=chatgpt.com</w:t>
              </w:r>
            </w:hyperlink>
          </w:p>
          <w:p w14:paraId="2136B827" w14:textId="77777777" w:rsidR="000E6C29" w:rsidRDefault="000E6C29">
            <w:pPr>
              <w:widowControl w:val="0"/>
              <w:pBdr>
                <w:top w:val="nil"/>
                <w:left w:val="nil"/>
                <w:bottom w:val="nil"/>
                <w:right w:val="nil"/>
                <w:between w:val="nil"/>
              </w:pBdr>
              <w:spacing w:line="360" w:lineRule="auto"/>
              <w:rPr>
                <w:rFonts w:ascii="Times New Roman" w:eastAsia="Times New Roman" w:hAnsi="Times New Roman" w:cs="Times New Roman"/>
                <w:color w:val="1155CC"/>
                <w:sz w:val="24"/>
                <w:szCs w:val="24"/>
                <w:u w:val="single"/>
              </w:rPr>
            </w:pPr>
          </w:p>
        </w:tc>
      </w:tr>
      <w:tr w:rsidR="000E6C29" w14:paraId="29712E72" w14:textId="77777777">
        <w:trPr>
          <w:jc w:val="center"/>
        </w:trPr>
        <w:tc>
          <w:tcPr>
            <w:tcW w:w="645" w:type="dxa"/>
            <w:tcMar>
              <w:top w:w="100" w:type="dxa"/>
              <w:left w:w="100" w:type="dxa"/>
              <w:bottom w:w="100" w:type="dxa"/>
              <w:right w:w="100" w:type="dxa"/>
            </w:tcMar>
          </w:tcPr>
          <w:p w14:paraId="77BF0FA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33" w:type="dxa"/>
            <w:tcMar>
              <w:top w:w="100" w:type="dxa"/>
              <w:left w:w="100" w:type="dxa"/>
              <w:bottom w:w="100" w:type="dxa"/>
              <w:right w:w="100" w:type="dxa"/>
            </w:tcMar>
          </w:tcPr>
          <w:p w14:paraId="77C89358"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Nigeria Data Protection Act (NDPA) 2023 </w:t>
            </w:r>
          </w:p>
          <w:p w14:paraId="64C985C9" w14:textId="77777777" w:rsidR="000E6C29" w:rsidRDefault="000E6C29">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2091" w:type="dxa"/>
            <w:tcMar>
              <w:top w:w="100" w:type="dxa"/>
              <w:left w:w="100" w:type="dxa"/>
              <w:bottom w:w="100" w:type="dxa"/>
              <w:right w:w="100" w:type="dxa"/>
            </w:tcMar>
          </w:tcPr>
          <w:p w14:paraId="221E62B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Federal Republic of Nigeria; implemented and overseen by the Nigeria Data Protection Commission (NDPC) </w:t>
            </w:r>
          </w:p>
        </w:tc>
        <w:tc>
          <w:tcPr>
            <w:tcW w:w="1545" w:type="dxa"/>
            <w:tcMar>
              <w:top w:w="100" w:type="dxa"/>
              <w:left w:w="100" w:type="dxa"/>
              <w:bottom w:w="100" w:type="dxa"/>
              <w:right w:w="100" w:type="dxa"/>
            </w:tcMar>
          </w:tcPr>
          <w:p w14:paraId="02BEA3A9"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Nigeria </w:t>
            </w:r>
          </w:p>
        </w:tc>
        <w:tc>
          <w:tcPr>
            <w:tcW w:w="1410" w:type="dxa"/>
            <w:tcMar>
              <w:top w:w="100" w:type="dxa"/>
              <w:left w:w="100" w:type="dxa"/>
              <w:bottom w:w="100" w:type="dxa"/>
              <w:right w:w="100" w:type="dxa"/>
            </w:tcMar>
          </w:tcPr>
          <w:p w14:paraId="66994A4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Government, banking fintech, healthcare, industry and organizations processing personal data </w:t>
            </w:r>
          </w:p>
        </w:tc>
        <w:tc>
          <w:tcPr>
            <w:tcW w:w="2430" w:type="dxa"/>
            <w:tcMar>
              <w:top w:w="100" w:type="dxa"/>
              <w:left w:w="100" w:type="dxa"/>
              <w:bottom w:w="100" w:type="dxa"/>
              <w:right w:w="100" w:type="dxa"/>
            </w:tcMar>
          </w:tcPr>
          <w:p w14:paraId="21C4903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Regulates the processing of personal data, protects data-subject rights, promotes secure and lawful processing, and establishes the NDPC as the data-protection regulator. </w:t>
            </w:r>
          </w:p>
        </w:tc>
        <w:tc>
          <w:tcPr>
            <w:tcW w:w="3765" w:type="dxa"/>
            <w:tcMar>
              <w:top w:w="100" w:type="dxa"/>
              <w:left w:w="100" w:type="dxa"/>
              <w:bottom w:w="100" w:type="dxa"/>
              <w:right w:w="100" w:type="dxa"/>
            </w:tcMar>
          </w:tcPr>
          <w:p w14:paraId="0CDD84D2"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GlobalTech may work with Nigerian clients that collect and process personal data. Cybersecurity assessments and consulting, therefore, need to consider privacy, lawful processing, data security, and data-subject rights under Nigerian data-protection requirements. </w:t>
            </w:r>
          </w:p>
        </w:tc>
        <w:tc>
          <w:tcPr>
            <w:tcW w:w="2610" w:type="dxa"/>
            <w:tcMar>
              <w:top w:w="100" w:type="dxa"/>
              <w:left w:w="100" w:type="dxa"/>
              <w:bottom w:w="100" w:type="dxa"/>
              <w:right w:w="100" w:type="dxa"/>
            </w:tcMar>
          </w:tcPr>
          <w:p w14:paraId="293D22EA"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Nigeria Data Protection Commission, </w:t>
            </w:r>
            <w:r>
              <w:rPr>
                <w:rFonts w:ascii="Times New Roman" w:eastAsia="Times New Roman" w:hAnsi="Times New Roman" w:cs="Times New Roman"/>
                <w:i/>
                <w:iCs/>
                <w:sz w:val="24"/>
                <w:szCs w:val="24"/>
              </w:rPr>
              <w:t xml:space="preserve">Nigeria Data Protection Act, 2023. </w:t>
            </w:r>
            <w:r>
              <w:rPr>
                <w:rFonts w:ascii="Times New Roman" w:eastAsia="Times New Roman" w:hAnsi="Times New Roman" w:cs="Times New Roman"/>
                <w:sz w:val="24"/>
                <w:szCs w:val="24"/>
              </w:rPr>
              <w:t xml:space="preserve">https://ndpc.gov.ng/download/nigeria-data-protection-act-2023?utm_source=chatgpt.com </w:t>
            </w:r>
          </w:p>
        </w:tc>
      </w:tr>
      <w:tr w:rsidR="000E6C29" w14:paraId="2D70E7DA" w14:textId="77777777">
        <w:trPr>
          <w:trHeight w:val="4576"/>
          <w:jc w:val="center"/>
        </w:trPr>
        <w:tc>
          <w:tcPr>
            <w:tcW w:w="645" w:type="dxa"/>
            <w:tcMar>
              <w:top w:w="100" w:type="dxa"/>
              <w:left w:w="100" w:type="dxa"/>
              <w:bottom w:w="100" w:type="dxa"/>
              <w:right w:w="100" w:type="dxa"/>
            </w:tcMar>
          </w:tcPr>
          <w:p w14:paraId="760F912B"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33" w:type="dxa"/>
            <w:tcMar>
              <w:top w:w="100" w:type="dxa"/>
              <w:left w:w="100" w:type="dxa"/>
              <w:bottom w:w="100" w:type="dxa"/>
              <w:right w:w="100" w:type="dxa"/>
            </w:tcMar>
          </w:tcPr>
          <w:p w14:paraId="4E4122F2"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27001:2022-Information Security Management Systems (ISMS) </w:t>
            </w:r>
          </w:p>
        </w:tc>
        <w:tc>
          <w:tcPr>
            <w:tcW w:w="2091" w:type="dxa"/>
            <w:tcMar>
              <w:top w:w="100" w:type="dxa"/>
              <w:left w:w="100" w:type="dxa"/>
              <w:bottom w:w="100" w:type="dxa"/>
              <w:right w:w="100" w:type="dxa"/>
            </w:tcMar>
          </w:tcPr>
          <w:p w14:paraId="33E66F5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Organization for Standardization (ISO) and International Electrotechnical Commission (IEC) </w:t>
            </w:r>
          </w:p>
        </w:tc>
        <w:tc>
          <w:tcPr>
            <w:tcW w:w="1545" w:type="dxa"/>
            <w:tcMar>
              <w:top w:w="100" w:type="dxa"/>
              <w:left w:w="100" w:type="dxa"/>
              <w:bottom w:w="100" w:type="dxa"/>
              <w:right w:w="100" w:type="dxa"/>
            </w:tcMar>
          </w:tcPr>
          <w:p w14:paraId="2A4B0745"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w:t>
            </w:r>
          </w:p>
        </w:tc>
        <w:tc>
          <w:tcPr>
            <w:tcW w:w="1410" w:type="dxa"/>
            <w:tcMar>
              <w:top w:w="100" w:type="dxa"/>
              <w:left w:w="100" w:type="dxa"/>
              <w:bottom w:w="100" w:type="dxa"/>
              <w:right w:w="100" w:type="dxa"/>
            </w:tcMar>
          </w:tcPr>
          <w:p w14:paraId="1B62BCA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Government, banking/fintech, healthcare, industry and other organizations </w:t>
            </w:r>
          </w:p>
        </w:tc>
        <w:tc>
          <w:tcPr>
            <w:tcW w:w="2430" w:type="dxa"/>
            <w:tcMar>
              <w:top w:w="100" w:type="dxa"/>
              <w:left w:w="100" w:type="dxa"/>
              <w:bottom w:w="100" w:type="dxa"/>
              <w:right w:w="100" w:type="dxa"/>
            </w:tcMar>
          </w:tcPr>
          <w:p w14:paraId="35EC43A9"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Establishes requirements for establishing, implementing, maintaining, and continually improving an Information Security Management System (ISMS). It includes requirements for assessing and treating </w:t>
            </w:r>
            <w:proofErr w:type="gramStart"/>
            <w:r>
              <w:rPr>
                <w:rFonts w:ascii="Times New Roman" w:eastAsia="Times New Roman" w:hAnsi="Times New Roman" w:cs="Times New Roman"/>
                <w:sz w:val="24"/>
                <w:szCs w:val="24"/>
              </w:rPr>
              <w:t>information-security</w:t>
            </w:r>
            <w:proofErr w:type="gramEnd"/>
            <w:r>
              <w:rPr>
                <w:rFonts w:ascii="Times New Roman" w:eastAsia="Times New Roman" w:hAnsi="Times New Roman" w:cs="Times New Roman"/>
                <w:sz w:val="24"/>
                <w:szCs w:val="24"/>
              </w:rPr>
              <w:t xml:space="preserve"> risks according to an organization's needs. </w:t>
            </w:r>
          </w:p>
        </w:tc>
        <w:tc>
          <w:tcPr>
            <w:tcW w:w="3765" w:type="dxa"/>
            <w:tcMar>
              <w:top w:w="100" w:type="dxa"/>
              <w:left w:w="100" w:type="dxa"/>
              <w:bottom w:w="100" w:type="dxa"/>
              <w:right w:w="100" w:type="dxa"/>
            </w:tcMar>
          </w:tcPr>
          <w:p w14:paraId="43EC80F0"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GlobalTech can use ISO/IEC 27001 to evaluate whether a client's information-security program has appropriate governance, risk-management processes, and security controls. This is relevant across GlobalTech's sectors because the standard is designed to apply to organizations regardless of their type, size, or nature. </w:t>
            </w:r>
          </w:p>
        </w:tc>
        <w:tc>
          <w:tcPr>
            <w:tcW w:w="2610" w:type="dxa"/>
            <w:tcMar>
              <w:top w:w="100" w:type="dxa"/>
              <w:left w:w="100" w:type="dxa"/>
              <w:bottom w:w="100" w:type="dxa"/>
              <w:right w:w="100" w:type="dxa"/>
            </w:tcMar>
          </w:tcPr>
          <w:p w14:paraId="631B492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w:t>
            </w:r>
            <w:r>
              <w:rPr>
                <w:rFonts w:ascii="Times New Roman" w:eastAsia="Times New Roman" w:hAnsi="Times New Roman" w:cs="Times New Roman"/>
                <w:i/>
                <w:iCs/>
                <w:sz w:val="24"/>
                <w:szCs w:val="24"/>
              </w:rPr>
              <w:t xml:space="preserve">ISO/IEC 27001:2022. </w:t>
            </w:r>
            <w:hyperlink r:id="rId8">
              <w:r>
                <w:rPr>
                  <w:rFonts w:ascii="Times New Roman" w:eastAsia="Times New Roman" w:hAnsi="Times New Roman" w:cs="Times New Roman"/>
                  <w:color w:val="1155CC"/>
                  <w:sz w:val="24"/>
                  <w:szCs w:val="24"/>
                </w:rPr>
                <w:t>https://www.iso.org/standard/27001?tid=331662889277&amp;utm_source=chatgpt.com</w:t>
              </w:r>
            </w:hyperlink>
          </w:p>
          <w:p w14:paraId="28D278CC" w14:textId="77777777" w:rsidR="000E6C29" w:rsidRDefault="000E6C29">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r w:rsidR="000E6C29" w14:paraId="67CE3146" w14:textId="77777777">
        <w:trPr>
          <w:jc w:val="center"/>
        </w:trPr>
        <w:tc>
          <w:tcPr>
            <w:tcW w:w="645" w:type="dxa"/>
            <w:tcMar>
              <w:top w:w="100" w:type="dxa"/>
              <w:left w:w="100" w:type="dxa"/>
              <w:bottom w:w="100" w:type="dxa"/>
              <w:right w:w="100" w:type="dxa"/>
            </w:tcMar>
          </w:tcPr>
          <w:p w14:paraId="5F7B6372"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33" w:type="dxa"/>
            <w:tcMar>
              <w:top w:w="100" w:type="dxa"/>
              <w:left w:w="100" w:type="dxa"/>
              <w:bottom w:w="100" w:type="dxa"/>
              <w:right w:w="100" w:type="dxa"/>
            </w:tcMar>
          </w:tcPr>
          <w:p w14:paraId="1BA2F0AC"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Payment Card Industry Data Security Standard (PCI DSS) v4.0.1</w:t>
            </w:r>
          </w:p>
        </w:tc>
        <w:tc>
          <w:tcPr>
            <w:tcW w:w="2091" w:type="dxa"/>
            <w:tcMar>
              <w:top w:w="100" w:type="dxa"/>
              <w:left w:w="100" w:type="dxa"/>
              <w:bottom w:w="100" w:type="dxa"/>
              <w:right w:w="100" w:type="dxa"/>
            </w:tcMar>
          </w:tcPr>
          <w:p w14:paraId="54F7AB4F"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PCI Security Standards Council (PCI SSC)</w:t>
            </w:r>
          </w:p>
        </w:tc>
        <w:tc>
          <w:tcPr>
            <w:tcW w:w="1545" w:type="dxa"/>
            <w:tcMar>
              <w:top w:w="100" w:type="dxa"/>
              <w:left w:w="100" w:type="dxa"/>
              <w:bottom w:w="100" w:type="dxa"/>
              <w:right w:w="100" w:type="dxa"/>
            </w:tcMar>
          </w:tcPr>
          <w:p w14:paraId="3C73D1B6"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International</w:t>
            </w:r>
          </w:p>
        </w:tc>
        <w:tc>
          <w:tcPr>
            <w:tcW w:w="1410" w:type="dxa"/>
            <w:tcMar>
              <w:top w:w="100" w:type="dxa"/>
              <w:left w:w="100" w:type="dxa"/>
              <w:bottom w:w="100" w:type="dxa"/>
              <w:right w:w="100" w:type="dxa"/>
            </w:tcMar>
          </w:tcPr>
          <w:p w14:paraId="42410F0E"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Government, banking fintech, healthcare, industry and other organizations</w:t>
            </w:r>
          </w:p>
        </w:tc>
        <w:tc>
          <w:tcPr>
            <w:tcW w:w="2430" w:type="dxa"/>
            <w:tcMar>
              <w:top w:w="100" w:type="dxa"/>
              <w:left w:w="100" w:type="dxa"/>
              <w:bottom w:w="100" w:type="dxa"/>
              <w:right w:w="100" w:type="dxa"/>
            </w:tcMar>
          </w:tcPr>
          <w:p w14:paraId="54EB610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Establishes requirements for establishing, implementing, maintaining and continually improving an Information Security Management </w:t>
            </w:r>
            <w:r>
              <w:rPr>
                <w:rFonts w:ascii="Times New Roman" w:eastAsia="Times New Roman" w:hAnsi="Times New Roman" w:cs="Times New Roman"/>
                <w:color w:val="0D0D0D"/>
                <w:sz w:val="24"/>
                <w:szCs w:val="24"/>
                <w:shd w:val="clear" w:color="auto" w:fill="FCFCFC"/>
              </w:rPr>
              <w:lastRenderedPageBreak/>
              <w:t>System (ISMS). It includes requirements for assessing and treating information-security risks according to an organization's needs</w:t>
            </w:r>
          </w:p>
        </w:tc>
        <w:tc>
          <w:tcPr>
            <w:tcW w:w="3765" w:type="dxa"/>
            <w:tcMar>
              <w:top w:w="100" w:type="dxa"/>
              <w:left w:w="100" w:type="dxa"/>
              <w:bottom w:w="100" w:type="dxa"/>
              <w:right w:w="100" w:type="dxa"/>
            </w:tcMar>
          </w:tcPr>
          <w:p w14:paraId="64F72F2C"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 xml:space="preserve">GlobalTech can use ISO/IEC 27001 to evaluate whether a client's information-security program has appropriate governance, risk-management processes, and security controls. This is relevant across GlobalTech's sectors because </w:t>
            </w:r>
            <w:proofErr w:type="gramStart"/>
            <w:r>
              <w:rPr>
                <w:rFonts w:ascii="Times New Roman" w:eastAsia="Times New Roman" w:hAnsi="Times New Roman" w:cs="Times New Roman"/>
                <w:color w:val="0D0D0D"/>
                <w:sz w:val="24"/>
                <w:szCs w:val="24"/>
                <w:shd w:val="clear" w:color="auto" w:fill="FCFCFC"/>
              </w:rPr>
              <w:t>The</w:t>
            </w:r>
            <w:proofErr w:type="gramEnd"/>
            <w:r>
              <w:rPr>
                <w:rFonts w:ascii="Times New Roman" w:eastAsia="Times New Roman" w:hAnsi="Times New Roman" w:cs="Times New Roman"/>
                <w:color w:val="0D0D0D"/>
                <w:sz w:val="24"/>
                <w:szCs w:val="24"/>
                <w:shd w:val="clear" w:color="auto" w:fill="FCFCFC"/>
              </w:rPr>
              <w:t xml:space="preserve"> standard is designed to apply to </w:t>
            </w:r>
            <w:r>
              <w:rPr>
                <w:rFonts w:ascii="Times New Roman" w:eastAsia="Times New Roman" w:hAnsi="Times New Roman" w:cs="Times New Roman"/>
                <w:color w:val="0D0D0D"/>
                <w:sz w:val="24"/>
                <w:szCs w:val="24"/>
                <w:shd w:val="clear" w:color="auto" w:fill="FCFCFC"/>
              </w:rPr>
              <w:lastRenderedPageBreak/>
              <w:t>organizations regardless of their type, size, or nature.</w:t>
            </w:r>
          </w:p>
        </w:tc>
        <w:tc>
          <w:tcPr>
            <w:tcW w:w="2610" w:type="dxa"/>
            <w:tcMar>
              <w:top w:w="100" w:type="dxa"/>
              <w:left w:w="100" w:type="dxa"/>
              <w:bottom w:w="100" w:type="dxa"/>
              <w:right w:w="100" w:type="dxa"/>
            </w:tcMar>
          </w:tcPr>
          <w:p w14:paraId="79D9AA0F"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ISO/IEC, </w:t>
            </w:r>
            <w:r>
              <w:rPr>
                <w:rFonts w:ascii="Times New Roman" w:eastAsia="Times New Roman" w:hAnsi="Times New Roman" w:cs="Times New Roman"/>
                <w:i/>
                <w:iCs/>
                <w:sz w:val="24"/>
                <w:szCs w:val="24"/>
              </w:rPr>
              <w:t>ISO/IEC 27001:2022</w:t>
            </w:r>
            <w:r>
              <w:rPr>
                <w:rFonts w:ascii="Times New Roman" w:eastAsia="Times New Roman" w:hAnsi="Times New Roman" w:cs="Times New Roman"/>
                <w:sz w:val="24"/>
                <w:szCs w:val="24"/>
              </w:rPr>
              <w:t xml:space="preserve">. </w:t>
            </w:r>
          </w:p>
          <w:p w14:paraId="2E5E040D" w14:textId="77777777" w:rsidR="000E6C29" w:rsidRDefault="00000000">
            <w:pPr>
              <w:widowControl w:val="0"/>
              <w:spacing w:line="360" w:lineRule="auto"/>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rPr>
                <w:t>https://www.iso.org/standard/27001?tid=331662889277&amp;utm_source=chatgpt.com</w:t>
              </w:r>
            </w:hyperlink>
          </w:p>
        </w:tc>
      </w:tr>
      <w:tr w:rsidR="000E6C29" w14:paraId="0F5F3426" w14:textId="77777777">
        <w:trPr>
          <w:jc w:val="center"/>
        </w:trPr>
        <w:tc>
          <w:tcPr>
            <w:tcW w:w="645" w:type="dxa"/>
            <w:tcMar>
              <w:top w:w="100" w:type="dxa"/>
              <w:left w:w="100" w:type="dxa"/>
              <w:bottom w:w="100" w:type="dxa"/>
              <w:right w:w="100" w:type="dxa"/>
            </w:tcMar>
          </w:tcPr>
          <w:p w14:paraId="6C45405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33" w:type="dxa"/>
            <w:tcMar>
              <w:top w:w="100" w:type="dxa"/>
              <w:left w:w="100" w:type="dxa"/>
              <w:bottom w:w="100" w:type="dxa"/>
              <w:right w:w="100" w:type="dxa"/>
            </w:tcMar>
          </w:tcPr>
          <w:p w14:paraId="37C32C3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Health Insurance Portability and Accountability Act (HIPAA), particularly the HIPAA Security Rule</w:t>
            </w:r>
          </w:p>
        </w:tc>
        <w:tc>
          <w:tcPr>
            <w:tcW w:w="2091" w:type="dxa"/>
            <w:tcMar>
              <w:top w:w="100" w:type="dxa"/>
              <w:left w:w="100" w:type="dxa"/>
              <w:bottom w:w="100" w:type="dxa"/>
              <w:right w:w="100" w:type="dxa"/>
            </w:tcMar>
          </w:tcPr>
          <w:p w14:paraId="5585151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U.S. Department of Health and Human Services (HHS), Office for Civil Rights (OCR)</w:t>
            </w:r>
          </w:p>
        </w:tc>
        <w:tc>
          <w:tcPr>
            <w:tcW w:w="1545" w:type="dxa"/>
            <w:tcMar>
              <w:top w:w="100" w:type="dxa"/>
              <w:left w:w="100" w:type="dxa"/>
              <w:bottom w:w="100" w:type="dxa"/>
              <w:right w:w="100" w:type="dxa"/>
            </w:tcMar>
          </w:tcPr>
          <w:p w14:paraId="6D8834D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United States</w:t>
            </w:r>
          </w:p>
        </w:tc>
        <w:tc>
          <w:tcPr>
            <w:tcW w:w="1410" w:type="dxa"/>
            <w:tcMar>
              <w:top w:w="100" w:type="dxa"/>
              <w:left w:w="100" w:type="dxa"/>
              <w:bottom w:w="100" w:type="dxa"/>
              <w:right w:w="100" w:type="dxa"/>
            </w:tcMar>
          </w:tcPr>
          <w:p w14:paraId="1D60934C"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Healthcare providers, health plans, healthcare </w:t>
            </w:r>
            <w:proofErr w:type="gramStart"/>
            <w:r>
              <w:rPr>
                <w:rFonts w:ascii="Times New Roman" w:eastAsia="Times New Roman" w:hAnsi="Times New Roman" w:cs="Times New Roman"/>
                <w:color w:val="0D0D0D"/>
                <w:sz w:val="24"/>
                <w:szCs w:val="24"/>
                <w:shd w:val="clear" w:color="auto" w:fill="FCFCFC"/>
              </w:rPr>
              <w:t>clearing  houses</w:t>
            </w:r>
            <w:proofErr w:type="gramEnd"/>
            <w:r>
              <w:rPr>
                <w:rFonts w:ascii="Times New Roman" w:eastAsia="Times New Roman" w:hAnsi="Times New Roman" w:cs="Times New Roman"/>
                <w:color w:val="0D0D0D"/>
                <w:sz w:val="24"/>
                <w:szCs w:val="24"/>
                <w:shd w:val="clear" w:color="auto" w:fill="FCFCFC"/>
              </w:rPr>
              <w:t>, and applicable business associates</w:t>
            </w:r>
          </w:p>
        </w:tc>
        <w:tc>
          <w:tcPr>
            <w:tcW w:w="2430" w:type="dxa"/>
            <w:tcMar>
              <w:top w:w="100" w:type="dxa"/>
              <w:left w:w="100" w:type="dxa"/>
              <w:bottom w:w="100" w:type="dxa"/>
              <w:right w:w="100" w:type="dxa"/>
            </w:tcMar>
          </w:tcPr>
          <w:p w14:paraId="1CFF8714"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The Security Rule requires safeguards for electronic protected health information (ePHI), including protection of its confidentiality, integrity, and availability; risk analysis; and appropriate security measures.</w:t>
            </w:r>
          </w:p>
        </w:tc>
        <w:tc>
          <w:tcPr>
            <w:tcW w:w="3765" w:type="dxa"/>
            <w:tcMar>
              <w:top w:w="100" w:type="dxa"/>
              <w:left w:w="100" w:type="dxa"/>
              <w:bottom w:w="100" w:type="dxa"/>
              <w:right w:w="100" w:type="dxa"/>
            </w:tcMar>
          </w:tcPr>
          <w:p w14:paraId="11EDD426"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GlobalTech serves healthcare organizations and has a stated international client footprint that includes the United States. Where a U.S. healthcare engagement involves entities covered by HIPAA, GlobalTech's security assessment and consulting work must account for applicable HIPAA requirements.</w:t>
            </w:r>
          </w:p>
        </w:tc>
        <w:tc>
          <w:tcPr>
            <w:tcW w:w="2610" w:type="dxa"/>
            <w:tcMar>
              <w:top w:w="100" w:type="dxa"/>
              <w:left w:w="100" w:type="dxa"/>
              <w:bottom w:w="100" w:type="dxa"/>
              <w:right w:w="100" w:type="dxa"/>
            </w:tcMar>
          </w:tcPr>
          <w:p w14:paraId="6BF06D06"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D0D0D"/>
                <w:sz w:val="24"/>
                <w:szCs w:val="24"/>
                <w:shd w:val="clear" w:color="auto" w:fill="FCFCFC"/>
              </w:rPr>
            </w:pPr>
            <w:r>
              <w:rPr>
                <w:rFonts w:ascii="Times New Roman" w:eastAsia="Times New Roman" w:hAnsi="Times New Roman" w:cs="Times New Roman"/>
                <w:color w:val="0D0D0D"/>
                <w:sz w:val="24"/>
                <w:szCs w:val="24"/>
                <w:shd w:val="clear" w:color="auto" w:fill="FCFCFC"/>
              </w:rPr>
              <w:t xml:space="preserve">U.S. HHS, </w:t>
            </w:r>
            <w:r>
              <w:rPr>
                <w:rFonts w:ascii="Times New Roman" w:eastAsia="Times New Roman" w:hAnsi="Times New Roman" w:cs="Times New Roman"/>
                <w:i/>
                <w:iCs/>
                <w:color w:val="0D0D0D"/>
                <w:sz w:val="24"/>
                <w:szCs w:val="24"/>
                <w:shd w:val="clear" w:color="auto" w:fill="FCFCFC"/>
              </w:rPr>
              <w:t>HIPAA Basics for Providers: Privacy, Security, &amp; Breach Notification Rules</w:t>
            </w:r>
          </w:p>
          <w:p w14:paraId="01937A5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shd w:val="clear" w:color="auto" w:fill="FCFCFC"/>
              </w:rPr>
            </w:pPr>
            <w:hyperlink r:id="rId10">
              <w:r>
                <w:rPr>
                  <w:rFonts w:ascii="Times New Roman" w:eastAsia="Times New Roman" w:hAnsi="Times New Roman" w:cs="Times New Roman"/>
                  <w:color w:val="1155CC"/>
                  <w:sz w:val="24"/>
                  <w:szCs w:val="24"/>
                  <w:shd w:val="clear" w:color="auto" w:fill="FCFCFC"/>
                </w:rPr>
                <w:t>https://www.iso.org/standard/27001?tid=331662889277&amp;utm_source=chatgpt.com</w:t>
              </w:r>
            </w:hyperlink>
          </w:p>
          <w:p w14:paraId="11CA0CF1"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 </w:t>
            </w:r>
          </w:p>
        </w:tc>
      </w:tr>
      <w:tr w:rsidR="000E6C29" w14:paraId="36F1B2D2" w14:textId="77777777">
        <w:trPr>
          <w:trHeight w:val="3781"/>
          <w:jc w:val="center"/>
        </w:trPr>
        <w:tc>
          <w:tcPr>
            <w:tcW w:w="645" w:type="dxa"/>
            <w:tcMar>
              <w:top w:w="100" w:type="dxa"/>
              <w:left w:w="100" w:type="dxa"/>
              <w:bottom w:w="100" w:type="dxa"/>
              <w:right w:w="100" w:type="dxa"/>
            </w:tcMar>
          </w:tcPr>
          <w:p w14:paraId="5260566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33" w:type="dxa"/>
            <w:tcMar>
              <w:top w:w="100" w:type="dxa"/>
              <w:left w:w="100" w:type="dxa"/>
              <w:bottom w:w="100" w:type="dxa"/>
              <w:right w:w="100" w:type="dxa"/>
            </w:tcMar>
          </w:tcPr>
          <w:p w14:paraId="54E09A21"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UK General Data Protection Regulation (UK GDPR)</w:t>
            </w:r>
          </w:p>
        </w:tc>
        <w:tc>
          <w:tcPr>
            <w:tcW w:w="2091" w:type="dxa"/>
            <w:tcMar>
              <w:top w:w="100" w:type="dxa"/>
              <w:left w:w="100" w:type="dxa"/>
              <w:bottom w:w="100" w:type="dxa"/>
              <w:right w:w="100" w:type="dxa"/>
            </w:tcMar>
          </w:tcPr>
          <w:p w14:paraId="4785D62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UK Parliament / UK data-protection regime; regulatory guidance and supervision by the Information Commissioner's Office (ICO)</w:t>
            </w:r>
          </w:p>
        </w:tc>
        <w:tc>
          <w:tcPr>
            <w:tcW w:w="1545" w:type="dxa"/>
            <w:tcMar>
              <w:top w:w="100" w:type="dxa"/>
              <w:left w:w="100" w:type="dxa"/>
              <w:bottom w:w="100" w:type="dxa"/>
              <w:right w:w="100" w:type="dxa"/>
            </w:tcMar>
          </w:tcPr>
          <w:p w14:paraId="747675A7"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United Kingdom</w:t>
            </w:r>
          </w:p>
        </w:tc>
        <w:tc>
          <w:tcPr>
            <w:tcW w:w="1410" w:type="dxa"/>
            <w:tcMar>
              <w:top w:w="100" w:type="dxa"/>
              <w:left w:w="100" w:type="dxa"/>
              <w:bottom w:w="100" w:type="dxa"/>
              <w:right w:w="100" w:type="dxa"/>
            </w:tcMar>
          </w:tcPr>
          <w:p w14:paraId="7F8C8AC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Government, financial services, healthcare, technology, industry and organizations processing personal data within its scope</w:t>
            </w:r>
          </w:p>
        </w:tc>
        <w:tc>
          <w:tcPr>
            <w:tcW w:w="2430" w:type="dxa"/>
            <w:tcMar>
              <w:top w:w="100" w:type="dxa"/>
              <w:left w:w="100" w:type="dxa"/>
              <w:bottom w:w="100" w:type="dxa"/>
              <w:right w:w="100" w:type="dxa"/>
            </w:tcMar>
          </w:tcPr>
          <w:p w14:paraId="4DB562C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Establishes principles governing personal-data processing, including lawfulness, fairness, and transparency; purpose limitation; data minimization; accuracy; storage limitation; integrity/confidentiality; and accountability.</w:t>
            </w:r>
          </w:p>
        </w:tc>
        <w:tc>
          <w:tcPr>
            <w:tcW w:w="3765" w:type="dxa"/>
            <w:tcMar>
              <w:top w:w="100" w:type="dxa"/>
              <w:left w:w="100" w:type="dxa"/>
              <w:bottom w:w="100" w:type="dxa"/>
              <w:right w:w="100" w:type="dxa"/>
            </w:tcMar>
          </w:tcPr>
          <w:p w14:paraId="429BBF84"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The GlobalTech brief identifies clients in the United Kingdom. Therefore, where an engagement involves processing personal data within the UK GDPR's scope, GlobalTech must consider the applicable data-protection requirements when performing security and consulting work.</w:t>
            </w:r>
          </w:p>
        </w:tc>
        <w:tc>
          <w:tcPr>
            <w:tcW w:w="2610" w:type="dxa"/>
            <w:tcMar>
              <w:top w:w="100" w:type="dxa"/>
              <w:left w:w="100" w:type="dxa"/>
              <w:bottom w:w="100" w:type="dxa"/>
              <w:right w:w="100" w:type="dxa"/>
            </w:tcMar>
          </w:tcPr>
          <w:p w14:paraId="6C0F0683"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D0D0D"/>
                <w:sz w:val="24"/>
                <w:szCs w:val="24"/>
                <w:shd w:val="clear" w:color="auto" w:fill="FCFCFC"/>
              </w:rPr>
            </w:pPr>
            <w:r>
              <w:rPr>
                <w:rFonts w:ascii="Times New Roman" w:eastAsia="Times New Roman" w:hAnsi="Times New Roman" w:cs="Times New Roman"/>
                <w:color w:val="0D0D0D"/>
                <w:sz w:val="24"/>
                <w:szCs w:val="24"/>
                <w:shd w:val="clear" w:color="auto" w:fill="FCFCFC"/>
              </w:rPr>
              <w:t xml:space="preserve">UK ICO, </w:t>
            </w:r>
            <w:r>
              <w:rPr>
                <w:rFonts w:ascii="Times New Roman" w:eastAsia="Times New Roman" w:hAnsi="Times New Roman" w:cs="Times New Roman"/>
                <w:i/>
                <w:iCs/>
                <w:color w:val="0D0D0D"/>
                <w:sz w:val="24"/>
                <w:szCs w:val="24"/>
                <w:shd w:val="clear" w:color="auto" w:fill="FCFCFC"/>
              </w:rPr>
              <w:t xml:space="preserve">A Guide to </w:t>
            </w:r>
            <w:proofErr w:type="gramStart"/>
            <w:r>
              <w:rPr>
                <w:rFonts w:ascii="Times New Roman" w:eastAsia="Times New Roman" w:hAnsi="Times New Roman" w:cs="Times New Roman"/>
                <w:i/>
                <w:iCs/>
                <w:color w:val="0D0D0D"/>
                <w:sz w:val="24"/>
                <w:szCs w:val="24"/>
                <w:shd w:val="clear" w:color="auto" w:fill="FCFCFC"/>
              </w:rPr>
              <w:t>the Data</w:t>
            </w:r>
            <w:proofErr w:type="gramEnd"/>
            <w:r>
              <w:rPr>
                <w:rFonts w:ascii="Times New Roman" w:eastAsia="Times New Roman" w:hAnsi="Times New Roman" w:cs="Times New Roman"/>
                <w:i/>
                <w:iCs/>
                <w:color w:val="0D0D0D"/>
                <w:sz w:val="24"/>
                <w:szCs w:val="24"/>
                <w:shd w:val="clear" w:color="auto" w:fill="FCFCFC"/>
              </w:rPr>
              <w:t xml:space="preserve"> Protection Principles.</w:t>
            </w:r>
          </w:p>
          <w:p w14:paraId="1779CE72"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D0D0D"/>
                <w:sz w:val="24"/>
                <w:szCs w:val="24"/>
                <w:shd w:val="clear" w:color="auto" w:fill="FCFCFC"/>
              </w:rPr>
            </w:pPr>
            <w:hyperlink r:id="rId11">
              <w:r>
                <w:rPr>
                  <w:rFonts w:ascii="Times New Roman" w:eastAsia="Times New Roman" w:hAnsi="Times New Roman" w:cs="Times New Roman"/>
                  <w:color w:val="1155CC"/>
                  <w:sz w:val="24"/>
                  <w:szCs w:val="24"/>
                  <w:shd w:val="clear" w:color="auto" w:fill="FCFCFC"/>
                </w:rPr>
                <w:t>https://ico.org.uk/for-organisations/uk-gdpr-guidance-and-resources/data-protection-principles/a-guide-to-the-dataprotection-principles/?q=article+4%E2%80%AF%E2%80%AF%C2%A0&amp;utm_source=chatgpt.com</w:t>
              </w:r>
            </w:hyperlink>
            <w:r>
              <w:rPr>
                <w:rFonts w:ascii="Times New Roman" w:eastAsia="Times New Roman" w:hAnsi="Times New Roman" w:cs="Times New Roman"/>
                <w:sz w:val="24"/>
                <w:szCs w:val="24"/>
                <w:shd w:val="clear" w:color="auto" w:fill="FCFCFC"/>
              </w:rPr>
              <w:t xml:space="preserve"> </w:t>
            </w:r>
            <w:r>
              <w:rPr>
                <w:rFonts w:ascii="Times New Roman" w:eastAsia="Times New Roman" w:hAnsi="Times New Roman" w:cs="Times New Roman"/>
                <w:color w:val="0D0D0D"/>
                <w:sz w:val="24"/>
                <w:szCs w:val="24"/>
                <w:shd w:val="clear" w:color="auto" w:fill="FCFCFC"/>
              </w:rPr>
              <w:t xml:space="preserve"> </w:t>
            </w:r>
          </w:p>
        </w:tc>
      </w:tr>
      <w:tr w:rsidR="000E6C29" w14:paraId="4119C386" w14:textId="77777777">
        <w:trPr>
          <w:jc w:val="center"/>
        </w:trPr>
        <w:tc>
          <w:tcPr>
            <w:tcW w:w="645" w:type="dxa"/>
            <w:tcMar>
              <w:top w:w="100" w:type="dxa"/>
              <w:left w:w="100" w:type="dxa"/>
              <w:bottom w:w="100" w:type="dxa"/>
              <w:right w:w="100" w:type="dxa"/>
            </w:tcMar>
          </w:tcPr>
          <w:p w14:paraId="71660019"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33" w:type="dxa"/>
            <w:tcMar>
              <w:top w:w="100" w:type="dxa"/>
              <w:left w:w="100" w:type="dxa"/>
              <w:bottom w:w="100" w:type="dxa"/>
              <w:right w:w="100" w:type="dxa"/>
            </w:tcMar>
          </w:tcPr>
          <w:p w14:paraId="711EA8C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Cybercrimes (Prohibition, Prevention, etc.) Act, 2015, as amended in 2024</w:t>
            </w:r>
          </w:p>
        </w:tc>
        <w:tc>
          <w:tcPr>
            <w:tcW w:w="2091" w:type="dxa"/>
            <w:tcMar>
              <w:top w:w="100" w:type="dxa"/>
              <w:left w:w="100" w:type="dxa"/>
              <w:bottom w:w="100" w:type="dxa"/>
              <w:right w:w="100" w:type="dxa"/>
            </w:tcMar>
          </w:tcPr>
          <w:p w14:paraId="403ECC10"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Federal Republic of Nigeria</w:t>
            </w:r>
          </w:p>
        </w:tc>
        <w:tc>
          <w:tcPr>
            <w:tcW w:w="1545" w:type="dxa"/>
            <w:tcMar>
              <w:top w:w="100" w:type="dxa"/>
              <w:left w:w="100" w:type="dxa"/>
              <w:bottom w:w="100" w:type="dxa"/>
              <w:right w:w="100" w:type="dxa"/>
            </w:tcMar>
          </w:tcPr>
          <w:p w14:paraId="44276AF0"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Nigeria</w:t>
            </w:r>
          </w:p>
        </w:tc>
        <w:tc>
          <w:tcPr>
            <w:tcW w:w="1410" w:type="dxa"/>
            <w:tcMar>
              <w:top w:w="100" w:type="dxa"/>
              <w:left w:w="100" w:type="dxa"/>
              <w:bottom w:w="100" w:type="dxa"/>
              <w:right w:w="100" w:type="dxa"/>
            </w:tcMar>
          </w:tcPr>
          <w:p w14:paraId="373E4CF5"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Government, financial institutions, technology organizations, businesses and other entities within its scope</w:t>
            </w:r>
          </w:p>
        </w:tc>
        <w:tc>
          <w:tcPr>
            <w:tcW w:w="2430" w:type="dxa"/>
            <w:tcMar>
              <w:top w:w="100" w:type="dxa"/>
              <w:left w:w="100" w:type="dxa"/>
              <w:bottom w:w="100" w:type="dxa"/>
              <w:right w:w="100" w:type="dxa"/>
            </w:tcMar>
          </w:tcPr>
          <w:p w14:paraId="6C1B2FB0"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Provides Nigeria's legal framework for addressing cybercrime, cybersecurity-related obligations, and the prevention, detection, and prosecution of cyber offenses.</w:t>
            </w:r>
          </w:p>
        </w:tc>
        <w:tc>
          <w:tcPr>
            <w:tcW w:w="3765" w:type="dxa"/>
            <w:tcMar>
              <w:top w:w="100" w:type="dxa"/>
              <w:left w:w="100" w:type="dxa"/>
              <w:bottom w:w="100" w:type="dxa"/>
              <w:right w:w="100" w:type="dxa"/>
            </w:tcMar>
          </w:tcPr>
          <w:p w14:paraId="6A016739"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GlobalTech operates as a cybersecurity consultancy in Nigeria and works with government, financial, and industry clients. Understanding the Nigerian cybercrime legal framework helps ensure that security assessments and other engagements are performed within applicable Nigerian law.</w:t>
            </w:r>
          </w:p>
        </w:tc>
        <w:tc>
          <w:tcPr>
            <w:tcW w:w="2610" w:type="dxa"/>
            <w:tcMar>
              <w:top w:w="100" w:type="dxa"/>
              <w:left w:w="100" w:type="dxa"/>
              <w:bottom w:w="100" w:type="dxa"/>
              <w:right w:w="100" w:type="dxa"/>
            </w:tcMar>
          </w:tcPr>
          <w:p w14:paraId="52E1F250"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Federal Republic of Nigeria, </w:t>
            </w:r>
            <w:r>
              <w:rPr>
                <w:rFonts w:ascii="Times New Roman" w:eastAsia="Times New Roman" w:hAnsi="Times New Roman" w:cs="Times New Roman"/>
                <w:i/>
                <w:iCs/>
                <w:color w:val="0D0D0D"/>
                <w:sz w:val="24"/>
                <w:szCs w:val="24"/>
                <w:shd w:val="clear" w:color="auto" w:fill="FCFCFC"/>
              </w:rPr>
              <w:t>Cybercrimes (Prohibition, Prevention, etc.) Act 2015 (as amended 2024).</w:t>
            </w:r>
          </w:p>
        </w:tc>
      </w:tr>
      <w:tr w:rsidR="000E6C29" w14:paraId="511722F3" w14:textId="77777777">
        <w:trPr>
          <w:jc w:val="center"/>
        </w:trPr>
        <w:tc>
          <w:tcPr>
            <w:tcW w:w="645" w:type="dxa"/>
            <w:tcMar>
              <w:top w:w="100" w:type="dxa"/>
              <w:left w:w="100" w:type="dxa"/>
              <w:bottom w:w="100" w:type="dxa"/>
              <w:right w:w="100" w:type="dxa"/>
            </w:tcMar>
          </w:tcPr>
          <w:p w14:paraId="146ECB11"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433" w:type="dxa"/>
            <w:tcMar>
              <w:top w:w="100" w:type="dxa"/>
              <w:left w:w="100" w:type="dxa"/>
              <w:bottom w:w="100" w:type="dxa"/>
              <w:right w:w="100" w:type="dxa"/>
            </w:tcMar>
          </w:tcPr>
          <w:p w14:paraId="7971076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CIS Critical Security Controls </w:t>
            </w:r>
            <w:r>
              <w:rPr>
                <w:rFonts w:ascii="Times New Roman" w:eastAsia="Times New Roman" w:hAnsi="Times New Roman" w:cs="Times New Roman"/>
                <w:color w:val="0D0D0D"/>
                <w:sz w:val="24"/>
                <w:szCs w:val="24"/>
                <w:shd w:val="clear" w:color="auto" w:fill="FCFCFC"/>
              </w:rPr>
              <w:lastRenderedPageBreak/>
              <w:t>v8.1</w:t>
            </w:r>
          </w:p>
        </w:tc>
        <w:tc>
          <w:tcPr>
            <w:tcW w:w="2091" w:type="dxa"/>
            <w:tcMar>
              <w:top w:w="100" w:type="dxa"/>
              <w:left w:w="100" w:type="dxa"/>
              <w:bottom w:w="100" w:type="dxa"/>
              <w:right w:w="100" w:type="dxa"/>
            </w:tcMar>
          </w:tcPr>
          <w:p w14:paraId="00366F37"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Center for Internet Security (CIS)</w:t>
            </w:r>
          </w:p>
        </w:tc>
        <w:tc>
          <w:tcPr>
            <w:tcW w:w="1545" w:type="dxa"/>
            <w:tcMar>
              <w:top w:w="100" w:type="dxa"/>
              <w:left w:w="100" w:type="dxa"/>
              <w:bottom w:w="100" w:type="dxa"/>
              <w:right w:w="100" w:type="dxa"/>
            </w:tcMar>
          </w:tcPr>
          <w:p w14:paraId="43552E47"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Global/International voluntary </w:t>
            </w:r>
            <w:r>
              <w:rPr>
                <w:rFonts w:ascii="Times New Roman" w:eastAsia="Times New Roman" w:hAnsi="Times New Roman" w:cs="Times New Roman"/>
                <w:color w:val="0D0D0D"/>
                <w:sz w:val="24"/>
                <w:szCs w:val="24"/>
                <w:shd w:val="clear" w:color="auto" w:fill="FCFCFC"/>
              </w:rPr>
              <w:lastRenderedPageBreak/>
              <w:t>best-practice control framework</w:t>
            </w:r>
          </w:p>
        </w:tc>
        <w:tc>
          <w:tcPr>
            <w:tcW w:w="1410" w:type="dxa"/>
            <w:tcMar>
              <w:top w:w="100" w:type="dxa"/>
              <w:left w:w="100" w:type="dxa"/>
              <w:bottom w:w="100" w:type="dxa"/>
              <w:right w:w="100" w:type="dxa"/>
            </w:tcMar>
          </w:tcPr>
          <w:p w14:paraId="35DD3475"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 xml:space="preserve">Organizationsns of different </w:t>
            </w:r>
            <w:r>
              <w:rPr>
                <w:rFonts w:ascii="Times New Roman" w:eastAsia="Times New Roman" w:hAnsi="Times New Roman" w:cs="Times New Roman"/>
                <w:color w:val="0D0D0D"/>
                <w:sz w:val="24"/>
                <w:szCs w:val="24"/>
                <w:shd w:val="clear" w:color="auto" w:fill="FCFCFC"/>
              </w:rPr>
              <w:lastRenderedPageBreak/>
              <w:t>sizes and sectors, including enterprises, government bodies, SMEs, cloud environments, and organizations managing third-party/supply-chain risks</w:t>
            </w:r>
          </w:p>
        </w:tc>
        <w:tc>
          <w:tcPr>
            <w:tcW w:w="2430" w:type="dxa"/>
            <w:tcMar>
              <w:top w:w="100" w:type="dxa"/>
              <w:left w:w="100" w:type="dxa"/>
              <w:bottom w:w="100" w:type="dxa"/>
              <w:right w:w="100" w:type="dxa"/>
            </w:tcMar>
          </w:tcPr>
          <w:p w14:paraId="02324C7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 xml:space="preserve">Provides 18 prioritized cybersecurity controls and safeguards. </w:t>
            </w:r>
            <w:r>
              <w:rPr>
                <w:rFonts w:ascii="Times New Roman" w:eastAsia="Times New Roman" w:hAnsi="Times New Roman" w:cs="Times New Roman"/>
                <w:color w:val="0D0D0D"/>
                <w:sz w:val="24"/>
                <w:szCs w:val="24"/>
                <w:shd w:val="clear" w:color="auto" w:fill="FCFCFC"/>
              </w:rPr>
              <w:lastRenderedPageBreak/>
              <w:t>covering areas such as enterprise asset inventory, software inventory, data protection, secure configuration, account management, vulnerability management, audit logging, malware defenses, incident response, and recovery. v8.1 also incorporates the governance security function and updated NIST CSF 2.0 mappings.</w:t>
            </w:r>
          </w:p>
        </w:tc>
        <w:tc>
          <w:tcPr>
            <w:tcW w:w="3765" w:type="dxa"/>
            <w:tcMar>
              <w:top w:w="100" w:type="dxa"/>
              <w:left w:w="100" w:type="dxa"/>
              <w:bottom w:w="100" w:type="dxa"/>
              <w:right w:w="100" w:type="dxa"/>
            </w:tcMar>
          </w:tcPr>
          <w:p w14:paraId="5EAD2509"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 xml:space="preserve">GlobalTech can use CIS Controls v8.1 as a practical implementation baseline when assessing an </w:t>
            </w:r>
            <w:r>
              <w:rPr>
                <w:rFonts w:ascii="Times New Roman" w:eastAsia="Times New Roman" w:hAnsi="Times New Roman" w:cs="Times New Roman"/>
                <w:color w:val="0D0D0D"/>
                <w:sz w:val="24"/>
                <w:szCs w:val="24"/>
                <w:shd w:val="clear" w:color="auto" w:fill="FCFCFC"/>
              </w:rPr>
              <w:lastRenderedPageBreak/>
              <w:t>organization's security posture. It can guide vulnerability management, asset discovery, endpoint protection, logging, incident response, and security governance. This makes it useful for translating a high-level cybersecurity assessment into specific technical safeguards and remediation actions.</w:t>
            </w:r>
          </w:p>
        </w:tc>
        <w:tc>
          <w:tcPr>
            <w:tcW w:w="2610" w:type="dxa"/>
            <w:tcMar>
              <w:top w:w="100" w:type="dxa"/>
              <w:left w:w="100" w:type="dxa"/>
              <w:bottom w:w="100" w:type="dxa"/>
              <w:right w:w="100" w:type="dxa"/>
            </w:tcMar>
          </w:tcPr>
          <w:p w14:paraId="3372AB01"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 xml:space="preserve">Center for Internet Security </w:t>
            </w:r>
            <w:hyperlink r:id="rId12">
              <w:r>
                <w:rPr>
                  <w:rFonts w:ascii="Times New Roman" w:eastAsia="Times New Roman" w:hAnsi="Times New Roman" w:cs="Times New Roman"/>
                  <w:color w:val="1155CC"/>
                  <w:sz w:val="24"/>
                  <w:szCs w:val="24"/>
                  <w:u w:val="single"/>
                  <w:shd w:val="clear" w:color="auto" w:fill="FCFCFC"/>
                </w:rPr>
                <w:t xml:space="preserve">CIS Critical Security Controls </w:t>
              </w:r>
              <w:r>
                <w:rPr>
                  <w:rFonts w:ascii="Times New Roman" w:eastAsia="Times New Roman" w:hAnsi="Times New Roman" w:cs="Times New Roman"/>
                  <w:color w:val="1155CC"/>
                  <w:sz w:val="24"/>
                  <w:szCs w:val="24"/>
                  <w:u w:val="single"/>
                  <w:shd w:val="clear" w:color="auto" w:fill="FCFCFC"/>
                </w:rPr>
                <w:lastRenderedPageBreak/>
                <w:t>Version 8.1</w:t>
              </w:r>
            </w:hyperlink>
            <w:r>
              <w:rPr>
                <w:rFonts w:ascii="Times New Roman" w:eastAsia="Times New Roman" w:hAnsi="Times New Roman" w:cs="Times New Roman"/>
                <w:color w:val="0D0D0D"/>
                <w:sz w:val="24"/>
                <w:szCs w:val="24"/>
                <w:shd w:val="clear" w:color="auto" w:fill="FCFCFC"/>
              </w:rPr>
              <w:t xml:space="preserve"> </w:t>
            </w:r>
          </w:p>
        </w:tc>
      </w:tr>
      <w:tr w:rsidR="000E6C29" w14:paraId="56CD5148" w14:textId="77777777">
        <w:trPr>
          <w:jc w:val="center"/>
        </w:trPr>
        <w:tc>
          <w:tcPr>
            <w:tcW w:w="645" w:type="dxa"/>
            <w:tcMar>
              <w:top w:w="100" w:type="dxa"/>
              <w:left w:w="100" w:type="dxa"/>
              <w:bottom w:w="100" w:type="dxa"/>
              <w:right w:w="100" w:type="dxa"/>
            </w:tcMar>
          </w:tcPr>
          <w:p w14:paraId="7FA4991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1433" w:type="dxa"/>
            <w:tcMar>
              <w:top w:w="100" w:type="dxa"/>
              <w:left w:w="100" w:type="dxa"/>
              <w:bottom w:w="100" w:type="dxa"/>
              <w:right w:w="100" w:type="dxa"/>
            </w:tcMar>
          </w:tcPr>
          <w:p w14:paraId="68921F3C"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COBIT 2019 Control Objectives for Information and Related Technologies</w:t>
            </w:r>
          </w:p>
        </w:tc>
        <w:tc>
          <w:tcPr>
            <w:tcW w:w="2091" w:type="dxa"/>
            <w:tcMar>
              <w:top w:w="100" w:type="dxa"/>
              <w:left w:w="100" w:type="dxa"/>
              <w:bottom w:w="100" w:type="dxa"/>
              <w:right w:w="100" w:type="dxa"/>
            </w:tcMar>
          </w:tcPr>
          <w:p w14:paraId="48C521D4"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ISACA</w:t>
            </w:r>
          </w:p>
        </w:tc>
        <w:tc>
          <w:tcPr>
            <w:tcW w:w="1545" w:type="dxa"/>
            <w:tcMar>
              <w:top w:w="100" w:type="dxa"/>
              <w:left w:w="100" w:type="dxa"/>
              <w:bottom w:w="100" w:type="dxa"/>
              <w:right w:w="100" w:type="dxa"/>
            </w:tcMar>
          </w:tcPr>
          <w:p w14:paraId="4DAFA479"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Global / International</w:t>
            </w:r>
          </w:p>
        </w:tc>
        <w:tc>
          <w:tcPr>
            <w:tcW w:w="1410" w:type="dxa"/>
            <w:tcMar>
              <w:top w:w="100" w:type="dxa"/>
              <w:left w:w="100" w:type="dxa"/>
              <w:bottom w:w="100" w:type="dxa"/>
              <w:right w:w="100" w:type="dxa"/>
            </w:tcMar>
          </w:tcPr>
          <w:p w14:paraId="6645835B"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Enterprise organizations across sectors are designed for governance and management of enterprise information and technology rather than only the IT department</w:t>
            </w:r>
          </w:p>
        </w:tc>
        <w:tc>
          <w:tcPr>
            <w:tcW w:w="2430" w:type="dxa"/>
            <w:tcMar>
              <w:top w:w="100" w:type="dxa"/>
              <w:left w:w="100" w:type="dxa"/>
              <w:bottom w:w="100" w:type="dxa"/>
              <w:right w:w="100" w:type="dxa"/>
            </w:tcMar>
          </w:tcPr>
          <w:p w14:paraId="13CD2C41"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Provides an enterprise-wide governance and management framework built around 40 governance and management objectives. It addresses governance, risk optimization, resource optimization, stakeholder value, policies, processes, organizational structures, information, people/skills, culture, and technology infrastructure.</w:t>
            </w:r>
          </w:p>
        </w:tc>
        <w:tc>
          <w:tcPr>
            <w:tcW w:w="3765" w:type="dxa"/>
            <w:tcMar>
              <w:top w:w="100" w:type="dxa"/>
              <w:left w:w="100" w:type="dxa"/>
              <w:bottom w:w="100" w:type="dxa"/>
              <w:right w:w="100" w:type="dxa"/>
            </w:tcMar>
          </w:tcPr>
          <w:p w14:paraId="41276632" w14:textId="77777777" w:rsidR="000E6C29"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GlobalTech can use COBIT 2019 to evaluate whether a client's cybersecurity and IT operations are properly governed, risk-managed,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and aligned with business objectives. It is particularly valuable for governance assessments, IT risk management, policy development, control maturity, compliance reviews, and management reporting. COBIT can also be integrated with other standards and regulations. </w:t>
            </w:r>
          </w:p>
          <w:tbl>
            <w:tblPr>
              <w:tblStyle w:val="a0"/>
              <w:tblW w:w="216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3"/>
            </w:tblGrid>
            <w:tr w:rsidR="000E6C29" w14:paraId="4F2E20FE" w14:textId="77777777">
              <w:trPr>
                <w:trHeight w:val="6270"/>
              </w:trPr>
              <w:tc>
                <w:tcPr>
                  <w:tcW w:w="2163" w:type="dxa"/>
                  <w:tcBorders>
                    <w:top w:val="nil"/>
                    <w:left w:val="nil"/>
                    <w:bottom w:val="single" w:sz="6" w:space="0" w:color="000000"/>
                    <w:right w:val="nil"/>
                  </w:tcBorders>
                  <w:tcMar>
                    <w:top w:w="100" w:type="dxa"/>
                    <w:left w:w="0" w:type="dxa"/>
                    <w:bottom w:w="100" w:type="dxa"/>
                    <w:right w:w="0" w:type="dxa"/>
                  </w:tcMar>
                  <w:vAlign w:val="center"/>
                </w:tcPr>
                <w:p w14:paraId="1F8868ED" w14:textId="77777777" w:rsidR="000E6C29" w:rsidRDefault="00000000">
                  <w:pPr>
                    <w:widowControl w:val="0"/>
                    <w:spacing w:line="36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GlobalTech can use COBIT 2019 to evaluate whether a client's cybersecurity and IT operations are properly governed, risk-managed, and aligned with business objectives. It is particularly valuable for governance assessments, IT risk management, policy development, control maturity, compliance reviews, and management reporting. COBIT can </w:t>
                  </w:r>
                  <w:r>
                    <w:rPr>
                      <w:rFonts w:ascii="Times New Roman" w:eastAsia="Times New Roman" w:hAnsi="Times New Roman" w:cs="Times New Roman"/>
                      <w:color w:val="0D0D0D"/>
                      <w:sz w:val="24"/>
                      <w:szCs w:val="24"/>
                    </w:rPr>
                    <w:lastRenderedPageBreak/>
                    <w:t>also be integrated with other standards and regulations.</w:t>
                  </w:r>
                </w:p>
              </w:tc>
            </w:tr>
          </w:tbl>
          <w:p w14:paraId="37B48265" w14:textId="77777777" w:rsidR="000E6C29" w:rsidRDefault="000E6C29">
            <w:pPr>
              <w:widowControl w:val="0"/>
              <w:spacing w:line="360" w:lineRule="auto"/>
              <w:rPr>
                <w:rFonts w:ascii="Times New Roman" w:eastAsia="Times New Roman" w:hAnsi="Times New Roman" w:cs="Times New Roman"/>
                <w:color w:val="0D0D0D"/>
                <w:sz w:val="24"/>
                <w:szCs w:val="24"/>
              </w:rPr>
            </w:pPr>
          </w:p>
          <w:p w14:paraId="22FB3988" w14:textId="77777777" w:rsidR="000E6C29" w:rsidRDefault="000E6C29">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2610" w:type="dxa"/>
            <w:tcMar>
              <w:top w:w="100" w:type="dxa"/>
              <w:left w:w="100" w:type="dxa"/>
              <w:bottom w:w="100" w:type="dxa"/>
              <w:right w:w="100" w:type="dxa"/>
            </w:tcMar>
          </w:tcPr>
          <w:p w14:paraId="1ADACBE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lastRenderedPageBreak/>
              <w:t>ISACA — COBIT 2019 Framework: Governance &amp; Management Objectives / Introduction &amp; Methodology.</w:t>
            </w:r>
          </w:p>
        </w:tc>
      </w:tr>
      <w:tr w:rsidR="000E6C29" w14:paraId="1C9C01B3" w14:textId="77777777">
        <w:trPr>
          <w:jc w:val="center"/>
        </w:trPr>
        <w:tc>
          <w:tcPr>
            <w:tcW w:w="645" w:type="dxa"/>
            <w:tcMar>
              <w:top w:w="100" w:type="dxa"/>
              <w:left w:w="100" w:type="dxa"/>
              <w:bottom w:w="100" w:type="dxa"/>
              <w:right w:w="100" w:type="dxa"/>
            </w:tcMar>
          </w:tcPr>
          <w:p w14:paraId="1DB4145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33" w:type="dxa"/>
            <w:tcMar>
              <w:top w:w="100" w:type="dxa"/>
              <w:left w:w="100" w:type="dxa"/>
              <w:bottom w:w="100" w:type="dxa"/>
              <w:right w:w="100" w:type="dxa"/>
            </w:tcMar>
          </w:tcPr>
          <w:p w14:paraId="207E327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CBN Risk-Based Cybersecurity Framework and Guidelines for Deposit Money Banks (DMBs),</w:t>
            </w:r>
          </w:p>
        </w:tc>
        <w:tc>
          <w:tcPr>
            <w:tcW w:w="2091" w:type="dxa"/>
            <w:tcMar>
              <w:top w:w="100" w:type="dxa"/>
              <w:left w:w="100" w:type="dxa"/>
              <w:bottom w:w="100" w:type="dxa"/>
              <w:right w:w="100" w:type="dxa"/>
            </w:tcMar>
          </w:tcPr>
          <w:p w14:paraId="2463C52C"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Central bank of Nigeria (CBN)</w:t>
            </w:r>
          </w:p>
        </w:tc>
        <w:tc>
          <w:tcPr>
            <w:tcW w:w="1545" w:type="dxa"/>
            <w:tcMar>
              <w:top w:w="100" w:type="dxa"/>
              <w:left w:w="100" w:type="dxa"/>
              <w:bottom w:w="100" w:type="dxa"/>
              <w:right w:w="100" w:type="dxa"/>
            </w:tcMar>
          </w:tcPr>
          <w:p w14:paraId="228FE1B5"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 Nigeria's banking and regulated payment service sector</w:t>
            </w:r>
          </w:p>
        </w:tc>
        <w:tc>
          <w:tcPr>
            <w:tcW w:w="1410" w:type="dxa"/>
            <w:tcMar>
              <w:top w:w="100" w:type="dxa"/>
              <w:left w:w="100" w:type="dxa"/>
              <w:bottom w:w="100" w:type="dxa"/>
              <w:right w:w="100" w:type="dxa"/>
            </w:tcMar>
          </w:tcPr>
          <w:p w14:paraId="04D2A37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Deposit money banks (DMBs) and payment service banks (PSBs) are CBN-regulated. The framework outlines the minimum cybersecurity program requirements for these institutions.</w:t>
            </w:r>
          </w:p>
        </w:tc>
        <w:tc>
          <w:tcPr>
            <w:tcW w:w="2430" w:type="dxa"/>
            <w:tcMar>
              <w:top w:w="100" w:type="dxa"/>
              <w:left w:w="100" w:type="dxa"/>
              <w:bottom w:w="100" w:type="dxa"/>
              <w:right w:w="100" w:type="dxa"/>
            </w:tcMar>
          </w:tcPr>
          <w:p w14:paraId="1FD6B7D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Sets minimum cybersecurity requirements for DMBs and PSBs, such as cybersecurity governance and oversight, risk-based cybersecurity management, security controls, monitoring, and other organizational/technical cybersecurity measures. The CBN stated that full compliance would be required by July 1, 2024. </w:t>
            </w:r>
          </w:p>
        </w:tc>
        <w:tc>
          <w:tcPr>
            <w:tcW w:w="3765" w:type="dxa"/>
            <w:tcMar>
              <w:top w:w="100" w:type="dxa"/>
              <w:left w:w="100" w:type="dxa"/>
              <w:bottom w:w="100" w:type="dxa"/>
              <w:right w:w="100" w:type="dxa"/>
            </w:tcMar>
          </w:tcPr>
          <w:p w14:paraId="0B58A81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 xml:space="preserve">This is especially important if GlobalTech offers cybersecurity consulting, assessment, risk management, penetration testing, compliance support, or security implementation services to Nigerian banks and payment institutions. GlobalTech can use the CBN requirements to identify gaps, document compliance evidence, make recommendations for improvement, and assist clients in meeting regulatory expectations. According to the CBN's wider IT Standards Program, financial services organizations and external IT service providers/operators must comply with applicable IT standards. </w:t>
            </w:r>
          </w:p>
        </w:tc>
        <w:tc>
          <w:tcPr>
            <w:tcW w:w="2610" w:type="dxa"/>
            <w:tcMar>
              <w:top w:w="100" w:type="dxa"/>
              <w:left w:w="100" w:type="dxa"/>
              <w:bottom w:w="100" w:type="dxa"/>
              <w:right w:w="100" w:type="dxa"/>
            </w:tcMar>
          </w:tcPr>
          <w:p w14:paraId="6335A8D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shd w:val="clear" w:color="auto" w:fill="FCFCFC"/>
              </w:rPr>
              <w:t>ISACA-COBIT 2019 Framework: Governance &amp; Management Objectives / Introduction &amp; Methodology.</w:t>
            </w:r>
          </w:p>
        </w:tc>
      </w:tr>
    </w:tbl>
    <w:p w14:paraId="27F9FA95" w14:textId="77777777" w:rsidR="000E6C29" w:rsidRDefault="000E6C29">
      <w:pPr>
        <w:spacing w:line="360" w:lineRule="auto"/>
        <w:rPr>
          <w:rFonts w:ascii="Times New Roman" w:eastAsia="Times New Roman" w:hAnsi="Times New Roman" w:cs="Times New Roman"/>
          <w:b/>
          <w:bCs/>
          <w:sz w:val="24"/>
          <w:szCs w:val="24"/>
        </w:rPr>
      </w:pPr>
    </w:p>
    <w:p w14:paraId="3C0EF5B4" w14:textId="77777777" w:rsidR="000E6C29" w:rsidRDefault="000E6C29">
      <w:pPr>
        <w:spacing w:line="360" w:lineRule="auto"/>
        <w:rPr>
          <w:rFonts w:ascii="Times New Roman" w:eastAsia="Times New Roman" w:hAnsi="Times New Roman" w:cs="Times New Roman"/>
          <w:b/>
          <w:bCs/>
          <w:sz w:val="24"/>
          <w:szCs w:val="24"/>
        </w:rPr>
      </w:pPr>
    </w:p>
    <w:p w14:paraId="24F4D07C" w14:textId="77777777" w:rsidR="000E6C29" w:rsidRDefault="000E6C29">
      <w:pPr>
        <w:spacing w:line="360" w:lineRule="auto"/>
        <w:rPr>
          <w:rFonts w:ascii="Times New Roman" w:eastAsia="Times New Roman" w:hAnsi="Times New Roman" w:cs="Times New Roman"/>
          <w:b/>
          <w:bCs/>
          <w:sz w:val="24"/>
          <w:szCs w:val="24"/>
        </w:rPr>
      </w:pPr>
    </w:p>
    <w:p w14:paraId="5EEEF392" w14:textId="77777777" w:rsidR="000E6C29" w:rsidRDefault="000E6C29">
      <w:pPr>
        <w:spacing w:line="360" w:lineRule="auto"/>
        <w:rPr>
          <w:rFonts w:ascii="Times New Roman" w:eastAsia="Times New Roman" w:hAnsi="Times New Roman" w:cs="Times New Roman"/>
          <w:b/>
          <w:bCs/>
          <w:sz w:val="24"/>
          <w:szCs w:val="24"/>
        </w:rPr>
      </w:pPr>
    </w:p>
    <w:p w14:paraId="10030FAB" w14:textId="77777777" w:rsidR="000E6C29"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ETHICS—THE ISC2 CODE OF ETHICS</w:t>
      </w:r>
    </w:p>
    <w:tbl>
      <w:tblPr>
        <w:tblStyle w:val="a1"/>
        <w:tblW w:w="14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025"/>
        <w:gridCol w:w="2835"/>
        <w:gridCol w:w="5955"/>
        <w:gridCol w:w="3375"/>
      </w:tblGrid>
      <w:tr w:rsidR="000E6C29" w14:paraId="6A770395" w14:textId="77777777">
        <w:tc>
          <w:tcPr>
            <w:tcW w:w="720" w:type="dxa"/>
            <w:tcMar>
              <w:top w:w="100" w:type="dxa"/>
              <w:left w:w="100" w:type="dxa"/>
              <w:bottom w:w="100" w:type="dxa"/>
              <w:right w:w="100" w:type="dxa"/>
            </w:tcMar>
          </w:tcPr>
          <w:p w14:paraId="607CCE9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w:t>
            </w:r>
          </w:p>
        </w:tc>
        <w:tc>
          <w:tcPr>
            <w:tcW w:w="2025" w:type="dxa"/>
            <w:tcMar>
              <w:top w:w="100" w:type="dxa"/>
              <w:left w:w="100" w:type="dxa"/>
              <w:bottom w:w="100" w:type="dxa"/>
              <w:right w:w="100" w:type="dxa"/>
            </w:tcMar>
          </w:tcPr>
          <w:p w14:paraId="2F0F3F6B"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Canon / Code Principle </w:t>
            </w:r>
          </w:p>
        </w:tc>
        <w:tc>
          <w:tcPr>
            <w:tcW w:w="2835" w:type="dxa"/>
            <w:tcMar>
              <w:top w:w="100" w:type="dxa"/>
              <w:left w:w="100" w:type="dxa"/>
              <w:bottom w:w="100" w:type="dxa"/>
              <w:right w:w="100" w:type="dxa"/>
            </w:tcMar>
          </w:tcPr>
          <w:p w14:paraId="7700B24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Official Wording or Paraphrase (cited) </w:t>
            </w:r>
          </w:p>
        </w:tc>
        <w:tc>
          <w:tcPr>
            <w:tcW w:w="5955" w:type="dxa"/>
            <w:tcMar>
              <w:top w:w="100" w:type="dxa"/>
              <w:left w:w="100" w:type="dxa"/>
              <w:bottom w:w="100" w:type="dxa"/>
              <w:right w:w="100" w:type="dxa"/>
            </w:tcMar>
          </w:tcPr>
          <w:p w14:paraId="70C52A4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GlobalTech's Internal Policy Application </w:t>
            </w:r>
          </w:p>
        </w:tc>
        <w:tc>
          <w:tcPr>
            <w:tcW w:w="3375" w:type="dxa"/>
            <w:tcMar>
              <w:top w:w="100" w:type="dxa"/>
              <w:left w:w="100" w:type="dxa"/>
              <w:bottom w:w="100" w:type="dxa"/>
              <w:right w:w="100" w:type="dxa"/>
            </w:tcMar>
          </w:tcPr>
          <w:p w14:paraId="56F4052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Why It Matters in Practice </w:t>
            </w:r>
          </w:p>
        </w:tc>
      </w:tr>
      <w:tr w:rsidR="000E6C29" w14:paraId="0E45CCB2" w14:textId="77777777">
        <w:tc>
          <w:tcPr>
            <w:tcW w:w="720" w:type="dxa"/>
            <w:tcMar>
              <w:top w:w="100" w:type="dxa"/>
              <w:left w:w="100" w:type="dxa"/>
              <w:bottom w:w="100" w:type="dxa"/>
              <w:right w:w="100" w:type="dxa"/>
            </w:tcMar>
          </w:tcPr>
          <w:p w14:paraId="72D15779"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025" w:type="dxa"/>
            <w:tcMar>
              <w:top w:w="100" w:type="dxa"/>
              <w:left w:w="100" w:type="dxa"/>
              <w:bottom w:w="100" w:type="dxa"/>
              <w:right w:w="100" w:type="dxa"/>
            </w:tcMar>
          </w:tcPr>
          <w:p w14:paraId="6415AFD2"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Canon I-Protect Society, the Common Good &amp; Infrastructure</w:t>
            </w:r>
            <w:r>
              <w:rPr>
                <w:rFonts w:ascii="Times New Roman" w:eastAsia="Times New Roman" w:hAnsi="Times New Roman" w:cs="Times New Roman"/>
                <w:b/>
                <w:bCs/>
                <w:sz w:val="24"/>
                <w:szCs w:val="24"/>
              </w:rPr>
              <w:t xml:space="preserve"> </w:t>
            </w:r>
          </w:p>
        </w:tc>
        <w:tc>
          <w:tcPr>
            <w:tcW w:w="2835" w:type="dxa"/>
            <w:tcMar>
              <w:top w:w="100" w:type="dxa"/>
              <w:left w:w="100" w:type="dxa"/>
              <w:bottom w:w="100" w:type="dxa"/>
              <w:right w:w="100" w:type="dxa"/>
            </w:tcMar>
          </w:tcPr>
          <w:p w14:paraId="2F06F6A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Protect society, the common good, public trust and confidence, and infrastructure.</w:t>
            </w:r>
            <w:r>
              <w:rPr>
                <w:rFonts w:ascii="Times New Roman" w:eastAsia="Times New Roman" w:hAnsi="Times New Roman" w:cs="Times New Roman"/>
                <w:b/>
                <w:bCs/>
                <w:sz w:val="24"/>
                <w:szCs w:val="24"/>
              </w:rPr>
              <w:t xml:space="preserve"> </w:t>
            </w:r>
          </w:p>
        </w:tc>
        <w:tc>
          <w:tcPr>
            <w:tcW w:w="5955" w:type="dxa"/>
            <w:tcMar>
              <w:top w:w="100" w:type="dxa"/>
              <w:left w:w="100" w:type="dxa"/>
              <w:bottom w:w="100" w:type="dxa"/>
              <w:right w:w="100" w:type="dxa"/>
            </w:tcMar>
          </w:tcPr>
          <w:p w14:paraId="39319666"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GlobalTech cybersecurity personnel should prioritize protecting clients, users, systems, networks, and digital infrastructure from cyber threats. Security testing must be conducted responsibly and with authorization.</w:t>
            </w:r>
            <w:r>
              <w:rPr>
                <w:rFonts w:ascii="Times New Roman" w:eastAsia="Times New Roman" w:hAnsi="Times New Roman" w:cs="Times New Roman"/>
                <w:b/>
                <w:bCs/>
                <w:sz w:val="24"/>
                <w:szCs w:val="24"/>
              </w:rPr>
              <w:t xml:space="preserve"> </w:t>
            </w:r>
          </w:p>
        </w:tc>
        <w:tc>
          <w:tcPr>
            <w:tcW w:w="3375" w:type="dxa"/>
            <w:tcMar>
              <w:top w:w="100" w:type="dxa"/>
              <w:left w:w="100" w:type="dxa"/>
              <w:bottom w:w="100" w:type="dxa"/>
              <w:right w:w="100" w:type="dxa"/>
            </w:tcMar>
          </w:tcPr>
          <w:p w14:paraId="3E639B33"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Helps prevent harm to users and organizations while maintaining trust in GlobalTech's cybersecurity services.</w:t>
            </w:r>
            <w:r>
              <w:rPr>
                <w:rFonts w:ascii="Times New Roman" w:eastAsia="Times New Roman" w:hAnsi="Times New Roman" w:cs="Times New Roman"/>
                <w:b/>
                <w:bCs/>
                <w:sz w:val="24"/>
                <w:szCs w:val="24"/>
              </w:rPr>
              <w:t xml:space="preserve"> </w:t>
            </w:r>
          </w:p>
        </w:tc>
      </w:tr>
      <w:tr w:rsidR="000E6C29" w14:paraId="0D9BB50A" w14:textId="77777777">
        <w:tc>
          <w:tcPr>
            <w:tcW w:w="720" w:type="dxa"/>
            <w:tcMar>
              <w:top w:w="100" w:type="dxa"/>
              <w:left w:w="100" w:type="dxa"/>
              <w:bottom w:w="100" w:type="dxa"/>
              <w:right w:w="100" w:type="dxa"/>
            </w:tcMar>
          </w:tcPr>
          <w:p w14:paraId="26CA81FC"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p>
        </w:tc>
        <w:tc>
          <w:tcPr>
            <w:tcW w:w="2025" w:type="dxa"/>
            <w:tcMar>
              <w:top w:w="100" w:type="dxa"/>
              <w:left w:w="100" w:type="dxa"/>
              <w:bottom w:w="100" w:type="dxa"/>
              <w:right w:w="100" w:type="dxa"/>
            </w:tcMar>
          </w:tcPr>
          <w:p w14:paraId="41E978AA"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Canon II-Act Honorably, </w:t>
            </w:r>
            <w:proofErr w:type="gramStart"/>
            <w:r>
              <w:rPr>
                <w:rFonts w:ascii="Times New Roman" w:eastAsia="Times New Roman" w:hAnsi="Times New Roman" w:cs="Times New Roman"/>
                <w:sz w:val="24"/>
                <w:szCs w:val="24"/>
              </w:rPr>
              <w:t>Honestly</w:t>
            </w:r>
            <w:proofErr w:type="gramEnd"/>
            <w:r>
              <w:rPr>
                <w:rFonts w:ascii="Times New Roman" w:eastAsia="Times New Roman" w:hAnsi="Times New Roman" w:cs="Times New Roman"/>
                <w:sz w:val="24"/>
                <w:szCs w:val="24"/>
              </w:rPr>
              <w:t xml:space="preserve">, Justly, Responsibly &amp; Legally </w:t>
            </w:r>
          </w:p>
        </w:tc>
        <w:tc>
          <w:tcPr>
            <w:tcW w:w="2835" w:type="dxa"/>
            <w:tcMar>
              <w:top w:w="100" w:type="dxa"/>
              <w:left w:w="100" w:type="dxa"/>
              <w:bottom w:w="100" w:type="dxa"/>
              <w:right w:w="100" w:type="dxa"/>
            </w:tcMar>
          </w:tcPr>
          <w:p w14:paraId="34C6DC9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 with honesty, fairness, responsibility and respect for applicable laws </w:t>
            </w:r>
          </w:p>
        </w:tc>
        <w:tc>
          <w:tcPr>
            <w:tcW w:w="5955" w:type="dxa"/>
            <w:tcMar>
              <w:top w:w="100" w:type="dxa"/>
              <w:left w:w="100" w:type="dxa"/>
              <w:bottom w:w="100" w:type="dxa"/>
              <w:right w:w="100" w:type="dxa"/>
            </w:tcMar>
          </w:tcPr>
          <w:p w14:paraId="4C0A381E"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Staff must report security findings accurately, avoid misleading clients, protect confidential information, and comply with applicable Nigerian laws and organizational policies. </w:t>
            </w:r>
          </w:p>
        </w:tc>
        <w:tc>
          <w:tcPr>
            <w:tcW w:w="3375" w:type="dxa"/>
            <w:tcMar>
              <w:top w:w="100" w:type="dxa"/>
              <w:left w:w="100" w:type="dxa"/>
              <w:bottom w:w="100" w:type="dxa"/>
              <w:right w:w="100" w:type="dxa"/>
            </w:tcMar>
          </w:tcPr>
          <w:p w14:paraId="3F17C2D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Builds</w:t>
            </w:r>
            <w:proofErr w:type="gramEnd"/>
            <w:r>
              <w:rPr>
                <w:rFonts w:ascii="Times New Roman" w:eastAsia="Times New Roman" w:hAnsi="Times New Roman" w:cs="Times New Roman"/>
                <w:sz w:val="24"/>
                <w:szCs w:val="24"/>
              </w:rPr>
              <w:t xml:space="preserve"> credibility and prevents unethical or unlawful cybersecurity practices. </w:t>
            </w:r>
          </w:p>
        </w:tc>
      </w:tr>
      <w:tr w:rsidR="000E6C29" w14:paraId="6EBD774C" w14:textId="77777777">
        <w:tc>
          <w:tcPr>
            <w:tcW w:w="720" w:type="dxa"/>
            <w:tcMar>
              <w:top w:w="100" w:type="dxa"/>
              <w:left w:w="100" w:type="dxa"/>
              <w:bottom w:w="100" w:type="dxa"/>
              <w:right w:w="100" w:type="dxa"/>
            </w:tcMar>
          </w:tcPr>
          <w:p w14:paraId="297CF3C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025" w:type="dxa"/>
            <w:tcMar>
              <w:top w:w="100" w:type="dxa"/>
              <w:left w:w="100" w:type="dxa"/>
              <w:bottom w:w="100" w:type="dxa"/>
              <w:right w:w="100" w:type="dxa"/>
            </w:tcMar>
          </w:tcPr>
          <w:p w14:paraId="39A2285D"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Canon III-Provide Diligent &amp; Competent Service </w:t>
            </w:r>
          </w:p>
        </w:tc>
        <w:tc>
          <w:tcPr>
            <w:tcW w:w="2835" w:type="dxa"/>
            <w:tcMar>
              <w:top w:w="100" w:type="dxa"/>
              <w:left w:w="100" w:type="dxa"/>
              <w:bottom w:w="100" w:type="dxa"/>
              <w:right w:w="100" w:type="dxa"/>
            </w:tcMar>
          </w:tcPr>
          <w:p w14:paraId="1CF33B4C"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diligent and competent service to principals/clients. </w:t>
            </w:r>
          </w:p>
        </w:tc>
        <w:tc>
          <w:tcPr>
            <w:tcW w:w="5955" w:type="dxa"/>
            <w:tcMar>
              <w:top w:w="100" w:type="dxa"/>
              <w:left w:w="100" w:type="dxa"/>
              <w:bottom w:w="100" w:type="dxa"/>
              <w:right w:w="100" w:type="dxa"/>
            </w:tcMar>
          </w:tcPr>
          <w:p w14:paraId="3A369F56"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GlobalTech personnel should only undertake security tasks they are competent to perform, follow approved procedures, document their work, and escalate issues beyond their expertise. </w:t>
            </w:r>
          </w:p>
        </w:tc>
        <w:tc>
          <w:tcPr>
            <w:tcW w:w="3375" w:type="dxa"/>
            <w:tcMar>
              <w:top w:w="100" w:type="dxa"/>
              <w:left w:w="100" w:type="dxa"/>
              <w:bottom w:w="100" w:type="dxa"/>
              <w:right w:w="100" w:type="dxa"/>
            </w:tcMar>
          </w:tcPr>
          <w:p w14:paraId="5C8B8014"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Reduces mistakes and ensures clients receive professional, reliable cybersecurity services. </w:t>
            </w:r>
          </w:p>
        </w:tc>
      </w:tr>
      <w:tr w:rsidR="000E6C29" w14:paraId="6F5551B3" w14:textId="77777777">
        <w:tc>
          <w:tcPr>
            <w:tcW w:w="720" w:type="dxa"/>
            <w:tcMar>
              <w:top w:w="100" w:type="dxa"/>
              <w:left w:w="100" w:type="dxa"/>
              <w:bottom w:w="100" w:type="dxa"/>
              <w:right w:w="100" w:type="dxa"/>
            </w:tcMar>
          </w:tcPr>
          <w:p w14:paraId="75969E5C"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025" w:type="dxa"/>
            <w:tcMar>
              <w:top w:w="100" w:type="dxa"/>
              <w:left w:w="100" w:type="dxa"/>
              <w:bottom w:w="100" w:type="dxa"/>
              <w:right w:w="100" w:type="dxa"/>
            </w:tcMar>
          </w:tcPr>
          <w:p w14:paraId="2E462416"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Canon I-Advance &amp; Protect the Profession </w:t>
            </w:r>
          </w:p>
        </w:tc>
        <w:tc>
          <w:tcPr>
            <w:tcW w:w="2835" w:type="dxa"/>
            <w:tcMar>
              <w:top w:w="100" w:type="dxa"/>
              <w:left w:w="100" w:type="dxa"/>
              <w:bottom w:w="100" w:type="dxa"/>
              <w:right w:w="100" w:type="dxa"/>
            </w:tcMar>
          </w:tcPr>
          <w:p w14:paraId="53E332C9"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 and protect the cybersecurity profession. </w:t>
            </w:r>
          </w:p>
        </w:tc>
        <w:tc>
          <w:tcPr>
            <w:tcW w:w="5955" w:type="dxa"/>
            <w:tcMar>
              <w:top w:w="100" w:type="dxa"/>
              <w:left w:w="100" w:type="dxa"/>
              <w:bottom w:w="100" w:type="dxa"/>
              <w:right w:w="100" w:type="dxa"/>
            </w:tcMar>
          </w:tcPr>
          <w:p w14:paraId="4E203E35"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GlobalTech should encourage continuous learning. professional certifications, ethical conduct, knowledge sharing, and responsible reporting of misconduct. </w:t>
            </w:r>
          </w:p>
        </w:tc>
        <w:tc>
          <w:tcPr>
            <w:tcW w:w="3375" w:type="dxa"/>
            <w:tcMar>
              <w:top w:w="100" w:type="dxa"/>
              <w:left w:w="100" w:type="dxa"/>
              <w:bottom w:w="100" w:type="dxa"/>
              <w:right w:w="100" w:type="dxa"/>
            </w:tcMar>
          </w:tcPr>
          <w:p w14:paraId="45FF5464"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Strengthens the reputation and professionalism of GlobalTech and the wider cybersecurity industry. </w:t>
            </w:r>
          </w:p>
        </w:tc>
      </w:tr>
      <w:tr w:rsidR="000E6C29" w14:paraId="333ACC5C" w14:textId="77777777">
        <w:tc>
          <w:tcPr>
            <w:tcW w:w="720" w:type="dxa"/>
            <w:tcMar>
              <w:top w:w="100" w:type="dxa"/>
              <w:left w:w="100" w:type="dxa"/>
              <w:bottom w:w="100" w:type="dxa"/>
              <w:right w:w="100" w:type="dxa"/>
            </w:tcMar>
          </w:tcPr>
          <w:p w14:paraId="372C23E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025" w:type="dxa"/>
            <w:tcMar>
              <w:top w:w="100" w:type="dxa"/>
              <w:left w:w="100" w:type="dxa"/>
              <w:bottom w:w="100" w:type="dxa"/>
              <w:right w:w="100" w:type="dxa"/>
            </w:tcMar>
          </w:tcPr>
          <w:p w14:paraId="336A5A11"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Supporting Principle-Public Trust &amp; Confidence </w:t>
            </w:r>
          </w:p>
        </w:tc>
        <w:tc>
          <w:tcPr>
            <w:tcW w:w="2835" w:type="dxa"/>
            <w:tcMar>
              <w:top w:w="100" w:type="dxa"/>
              <w:left w:w="100" w:type="dxa"/>
              <w:bottom w:w="100" w:type="dxa"/>
              <w:right w:w="100" w:type="dxa"/>
            </w:tcMar>
          </w:tcPr>
          <w:p w14:paraId="120E0F67"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professionals should maintain behavior that deserves and preserves public trust. </w:t>
            </w:r>
          </w:p>
        </w:tc>
        <w:tc>
          <w:tcPr>
            <w:tcW w:w="5955" w:type="dxa"/>
            <w:tcMar>
              <w:top w:w="100" w:type="dxa"/>
              <w:left w:w="100" w:type="dxa"/>
              <w:bottom w:w="100" w:type="dxa"/>
              <w:right w:w="100" w:type="dxa"/>
            </w:tcMar>
          </w:tcPr>
          <w:p w14:paraId="407191FF"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GlobalTech employees should handle client data responsibly, avoid unauthorized disclosure, communicate security risks accurately, and avoid actions that could damage client confidence. </w:t>
            </w:r>
          </w:p>
        </w:tc>
        <w:tc>
          <w:tcPr>
            <w:tcW w:w="3375" w:type="dxa"/>
            <w:tcMar>
              <w:top w:w="100" w:type="dxa"/>
              <w:left w:w="100" w:type="dxa"/>
              <w:bottom w:w="100" w:type="dxa"/>
              <w:right w:w="100" w:type="dxa"/>
            </w:tcMar>
          </w:tcPr>
          <w:p w14:paraId="5FFACA96"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depends heavily on trust; one unethical action can damage both the client and GlobalTech's reputation. </w:t>
            </w:r>
          </w:p>
        </w:tc>
      </w:tr>
      <w:tr w:rsidR="000E6C29" w14:paraId="33FDE429" w14:textId="77777777">
        <w:tc>
          <w:tcPr>
            <w:tcW w:w="720" w:type="dxa"/>
            <w:tcMar>
              <w:top w:w="100" w:type="dxa"/>
              <w:left w:w="100" w:type="dxa"/>
              <w:bottom w:w="100" w:type="dxa"/>
              <w:right w:w="100" w:type="dxa"/>
            </w:tcMar>
          </w:tcPr>
          <w:p w14:paraId="71BEC687"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025" w:type="dxa"/>
            <w:tcMar>
              <w:top w:w="100" w:type="dxa"/>
              <w:left w:w="100" w:type="dxa"/>
              <w:bottom w:w="100" w:type="dxa"/>
              <w:right w:w="100" w:type="dxa"/>
            </w:tcMar>
          </w:tcPr>
          <w:p w14:paraId="3ED31278"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depends heavily on trust; one unethical action can damage both the client and GlobalTech's reputation. </w:t>
            </w:r>
          </w:p>
        </w:tc>
        <w:tc>
          <w:tcPr>
            <w:tcW w:w="2835" w:type="dxa"/>
            <w:tcMar>
              <w:top w:w="100" w:type="dxa"/>
              <w:left w:w="100" w:type="dxa"/>
              <w:bottom w:w="100" w:type="dxa"/>
              <w:right w:w="100" w:type="dxa"/>
            </w:tcMar>
          </w:tcPr>
          <w:p w14:paraId="42784EF3"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Professionals have a responsibility to uphold high ethical standards and support ethical conduct among colleagues. </w:t>
            </w:r>
          </w:p>
        </w:tc>
        <w:tc>
          <w:tcPr>
            <w:tcW w:w="5955" w:type="dxa"/>
            <w:tcMar>
              <w:top w:w="100" w:type="dxa"/>
              <w:left w:w="100" w:type="dxa"/>
              <w:bottom w:w="100" w:type="dxa"/>
              <w:right w:w="100" w:type="dxa"/>
            </w:tcMar>
          </w:tcPr>
          <w:p w14:paraId="1C799373"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GlobalTech should provide channels for reporting unethical behavior, security violations, and conflicts of interest without encouraging retaliation. Employees should also raise concerns when they observe serious ethical breaches. </w:t>
            </w:r>
          </w:p>
        </w:tc>
        <w:tc>
          <w:tcPr>
            <w:tcW w:w="3375" w:type="dxa"/>
            <w:tcMar>
              <w:top w:w="100" w:type="dxa"/>
              <w:left w:w="100" w:type="dxa"/>
              <w:bottom w:w="100" w:type="dxa"/>
              <w:right w:w="100" w:type="dxa"/>
            </w:tcMar>
          </w:tcPr>
          <w:p w14:paraId="7F1A6E14" w14:textId="77777777" w:rsidR="000E6C2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Creates an accountable security culture where employees take responsibility for protecting clients, colleagues, and the organization. </w:t>
            </w:r>
          </w:p>
        </w:tc>
      </w:tr>
    </w:tbl>
    <w:p w14:paraId="2E26CC24" w14:textId="77777777" w:rsidR="000E6C29" w:rsidRDefault="000E6C29">
      <w:pPr>
        <w:spacing w:line="360" w:lineRule="auto"/>
        <w:rPr>
          <w:rFonts w:ascii="Times New Roman" w:eastAsia="Times New Roman" w:hAnsi="Times New Roman" w:cs="Times New Roman"/>
          <w:b/>
          <w:bCs/>
          <w:sz w:val="24"/>
          <w:szCs w:val="24"/>
        </w:rPr>
      </w:pPr>
    </w:p>
    <w:p w14:paraId="2172535A" w14:textId="77777777" w:rsidR="000E6C29" w:rsidRDefault="000E6C29">
      <w:pPr>
        <w:spacing w:line="360" w:lineRule="auto"/>
        <w:rPr>
          <w:rFonts w:ascii="Times New Roman" w:eastAsia="Times New Roman" w:hAnsi="Times New Roman" w:cs="Times New Roman"/>
          <w:b/>
          <w:bCs/>
          <w:sz w:val="24"/>
          <w:szCs w:val="24"/>
        </w:rPr>
      </w:pPr>
    </w:p>
    <w:p w14:paraId="39F4681B" w14:textId="77777777" w:rsidR="000E6C29"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COMPLIANCE NOTE</w:t>
      </w:r>
    </w:p>
    <w:p w14:paraId="704AA76D"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cybersecurity intern at GlobalTech, I will adhere to the frameworks and standards outlined in Table 1 and the rules governing each client engagement in my daily activities. This is particularly important as GlobalTech works with government agencies, banks and fintech organizations, healthcare providers, industries, and international clients. Specifically, the CISO told the interns to learn the frameworks, standards, and policies that govern client engagements before doing any security work. </w:t>
      </w:r>
    </w:p>
    <w:p w14:paraId="7B05F5B5"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ISO/IEC 27001, I will follow authorized procedures for information security, protect the confidentiality of client information, prevent unauthorized access to information, and communicate security incidents or weaknesses through proper channels. I will also make sure that security controls are adhered to rather than avoided for convenience.</w:t>
      </w:r>
    </w:p>
    <w:p w14:paraId="2EB01D5C"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engagements involving payment-card environments, cardholder data will be treated as highly sensitive for PCI DSS. I will only access that information necessary to perform my assigned task, will adhere to approved controls on access, will not store or share card data unnecessarily, and will maintain confidentiality during the engagement.</w:t>
      </w:r>
    </w:p>
    <w:p w14:paraId="35632EF6"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Nigeria Data Protection Act (NDPA), I will be responsible with personal data by only accessing the information that I need to do the duties assigned to me, safeguarding the information from any unauthorized disclosure, and following GlobalTech’s approved procedures for the collection, processing, storage, and sharing of personal data. </w:t>
      </w:r>
    </w:p>
    <w:p w14:paraId="390D535B"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will also keep accurate records of my activities, only use approved tools and systems, protect client confidentiality, and escalate suspected violations instead of ignoring them. This approach is consistent with GlobalTech’s requirement that its engagements be conducted in accordance with applicable rules and standards across sectors and jurisdictions.</w:t>
      </w:r>
    </w:p>
    <w:p w14:paraId="4F43A88B" w14:textId="77777777" w:rsidR="000E6C29" w:rsidRDefault="000E6C29">
      <w:pPr>
        <w:spacing w:line="360" w:lineRule="auto"/>
        <w:rPr>
          <w:rFonts w:ascii="Times New Roman" w:eastAsia="Times New Roman" w:hAnsi="Times New Roman" w:cs="Times New Roman"/>
          <w:sz w:val="24"/>
          <w:szCs w:val="24"/>
        </w:rPr>
      </w:pPr>
    </w:p>
    <w:p w14:paraId="71A5B835" w14:textId="77777777" w:rsidR="000E6C29"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OATH OF COMPLIANCE &amp; ALIGNMENT</w:t>
      </w:r>
    </w:p>
    <w:p w14:paraId="7D98AFAD"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 Ubanwoke Blessing Chidinma, understand and accept that I have researched and understood the cybersecurity frameworks, standards, policies, and internal ethical canons governing GlobalTech’s engagement with its clients.</w:t>
      </w:r>
    </w:p>
    <w:p w14:paraId="65988BBD"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pledge to abide by these requirements in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my work during this internship, whether simulated or real. I will safeguard client information, respect confidentiality, adhere to approved security procedures, and perform all assigned tasks in a responsible and professional manner.</w:t>
      </w:r>
    </w:p>
    <w:p w14:paraId="2835B04C" w14:textId="77777777" w:rsidR="000E6C29"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 will also comply with the ISC2 Code of Ethics, applicable cybersecurity frameworks and standards, and GlobalTech’s internal policies. I will not intentionally circumvent security controls or misuse authorized access or compromise the confidentiality, integrity, or availability of information entrusted to me.</w:t>
      </w:r>
      <w:r>
        <w:rPr>
          <w:rFonts w:ascii="Times New Roman" w:eastAsia="Times New Roman" w:hAnsi="Times New Roman" w:cs="Times New Roman"/>
          <w:b/>
          <w:bCs/>
          <w:sz w:val="24"/>
          <w:szCs w:val="24"/>
        </w:rPr>
        <w:t xml:space="preserve"> </w:t>
      </w:r>
    </w:p>
    <w:p w14:paraId="2EB916E5" w14:textId="77777777" w:rsidR="000E6C2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that compliance, professional ethics, and responsible conduct are key to maintaining the trust that GlobalTech’s clients have placed in our company. I therefore accept this responsibility and will seek appropriate guidance whenever I am in doubt as to the applicability of a policy, standard, or ethical requirement. </w:t>
      </w:r>
    </w:p>
    <w:p w14:paraId="0DB02D61" w14:textId="77777777" w:rsidR="000E6C29" w:rsidRDefault="00000000">
      <w:pPr>
        <w:spacing w:before="240" w:after="240" w:line="360" w:lineRule="auto"/>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 xml:space="preserve">Full Name: </w:t>
      </w:r>
      <w:r>
        <w:rPr>
          <w:rFonts w:ascii="Times New Roman" w:eastAsia="Times New Roman" w:hAnsi="Times New Roman" w:cs="Times New Roman"/>
          <w:sz w:val="24"/>
          <w:szCs w:val="24"/>
          <w:u w:val="single"/>
        </w:rPr>
        <w:t>UBANWOKE BLESSING CHIDINMA</w:t>
      </w:r>
    </w:p>
    <w:p w14:paraId="3AC9A214" w14:textId="77777777" w:rsidR="000E6C29" w:rsidRDefault="00000000">
      <w:pPr>
        <w:pBdr>
          <w:top w:val="nil"/>
          <w:left w:val="nil"/>
          <w:bottom w:val="nil"/>
          <w:right w:val="nil"/>
          <w:between w:val="nil"/>
        </w:pBdr>
        <w:spacing w:before="240" w:after="240" w:line="360" w:lineRule="auto"/>
        <w:rPr>
          <w:rFonts w:ascii="Times New Roman" w:eastAsia="Times New Roman" w:hAnsi="Times New Roman" w:cs="Times New Roman"/>
          <w:i/>
          <w:iCs/>
          <w:sz w:val="24"/>
          <w:szCs w:val="24"/>
          <w:highlight w:val="black"/>
        </w:rPr>
      </w:pPr>
      <w:r>
        <w:rPr>
          <w:rFonts w:ascii="Times New Roman" w:eastAsia="Times New Roman" w:hAnsi="Times New Roman" w:cs="Times New Roman"/>
          <w:b/>
          <w:bCs/>
          <w:sz w:val="24"/>
          <w:szCs w:val="24"/>
        </w:rPr>
        <w:t>Signature: U.B.C.</w:t>
      </w:r>
    </w:p>
    <w:p w14:paraId="645BA9D0" w14:textId="77777777" w:rsidR="000E6C29"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20TH AUGUST 2026</w:t>
      </w:r>
    </w:p>
    <w:p w14:paraId="2B8E7485" w14:textId="77777777" w:rsidR="000E6C29"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0" w:name="_ne9vw3qhixzd" w:colFirst="0" w:colLast="0"/>
      <w:bookmarkEnd w:id="0"/>
      <w:r>
        <w:rPr>
          <w:rFonts w:ascii="Times New Roman" w:eastAsia="Times New Roman" w:hAnsi="Times New Roman" w:cs="Times New Roman"/>
          <w:b/>
          <w:bCs/>
          <w:sz w:val="24"/>
          <w:szCs w:val="24"/>
        </w:rPr>
        <w:t>REFERENCES</w:t>
      </w:r>
    </w:p>
    <w:p w14:paraId="1318D1A2" w14:textId="77777777" w:rsidR="000E6C29" w:rsidRDefault="00000000">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Center for Internet Security. (2024). </w:t>
      </w:r>
      <w:r>
        <w:rPr>
          <w:rFonts w:ascii="Times New Roman" w:eastAsia="Times New Roman" w:hAnsi="Times New Roman" w:cs="Times New Roman"/>
          <w:i/>
          <w:iCs/>
          <w:sz w:val="24"/>
          <w:szCs w:val="24"/>
        </w:rPr>
        <w:t>CIS Critical Security Controls Version 8.1</w:t>
      </w:r>
      <w:r>
        <w:rPr>
          <w:rFonts w:ascii="Times New Roman" w:eastAsia="Times New Roman" w:hAnsi="Times New Roman" w:cs="Times New Roman"/>
          <w:sz w:val="24"/>
          <w:szCs w:val="24"/>
        </w:rPr>
        <w:t>. Center for Internet Security.</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u w:val="single"/>
          </w:rPr>
          <w:t>https://www.cisecurity.org/controls/v8-1</w:t>
        </w:r>
      </w:hyperlink>
    </w:p>
    <w:p w14:paraId="3A2EF9FC"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Nigeria. (2018). </w:t>
      </w:r>
      <w:r>
        <w:rPr>
          <w:rFonts w:ascii="Times New Roman" w:eastAsia="Times New Roman" w:hAnsi="Times New Roman" w:cs="Times New Roman"/>
          <w:i/>
          <w:iCs/>
          <w:sz w:val="24"/>
          <w:szCs w:val="24"/>
        </w:rPr>
        <w:t>Risk-Based Cybersecurity Framework and Guidelines for Deposit Money Banks and Payment Service Providers</w:t>
      </w:r>
      <w:r>
        <w:rPr>
          <w:rFonts w:ascii="Times New Roman" w:eastAsia="Times New Roman" w:hAnsi="Times New Roman" w:cs="Times New Roman"/>
          <w:sz w:val="24"/>
          <w:szCs w:val="24"/>
        </w:rPr>
        <w:t>. Central Bank of Nigeria.</w:t>
      </w:r>
    </w:p>
    <w:p w14:paraId="373912FC"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Organization for Standardization. (2022). </w:t>
      </w:r>
      <w:r>
        <w:rPr>
          <w:rFonts w:ascii="Times New Roman" w:eastAsia="Times New Roman" w:hAnsi="Times New Roman" w:cs="Times New Roman"/>
          <w:i/>
          <w:iCs/>
          <w:sz w:val="24"/>
          <w:szCs w:val="24"/>
        </w:rPr>
        <w:t>ISO/IEC 27001:2022-Requirements for information security, cybersecurity, and privacy management systems.</w:t>
      </w:r>
      <w:r>
        <w:rPr>
          <w:rFonts w:ascii="Times New Roman" w:eastAsia="Times New Roman" w:hAnsi="Times New Roman" w:cs="Times New Roman"/>
          <w:sz w:val="24"/>
          <w:szCs w:val="24"/>
        </w:rPr>
        <w:t xml:space="preserve"> </w:t>
      </w:r>
    </w:p>
    <w:p w14:paraId="239A309B"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Organization for Standardization. (2022). </w:t>
      </w:r>
      <w:r>
        <w:rPr>
          <w:rFonts w:ascii="Times New Roman" w:eastAsia="Times New Roman" w:hAnsi="Times New Roman" w:cs="Times New Roman"/>
          <w:i/>
          <w:iCs/>
          <w:sz w:val="24"/>
          <w:szCs w:val="24"/>
        </w:rPr>
        <w:t>ISO/IEC 27002:2022-Controls for information security, cybersecurity, and privacy.</w:t>
      </w:r>
      <w:r>
        <w:rPr>
          <w:rFonts w:ascii="Times New Roman" w:eastAsia="Times New Roman" w:hAnsi="Times New Roman" w:cs="Times New Roman"/>
          <w:sz w:val="24"/>
          <w:szCs w:val="24"/>
        </w:rPr>
        <w:t xml:space="preserve"> </w:t>
      </w:r>
    </w:p>
    <w:p w14:paraId="6D4762BA"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Standards and Technology. (2024). </w:t>
      </w:r>
      <w:r>
        <w:rPr>
          <w:rFonts w:ascii="Times New Roman" w:eastAsia="Times New Roman" w:hAnsi="Times New Roman" w:cs="Times New Roman"/>
          <w:i/>
          <w:iCs/>
          <w:sz w:val="24"/>
          <w:szCs w:val="24"/>
        </w:rPr>
        <w:t>The NIST Cybersecurity Framework (CSF) 2.0</w:t>
      </w:r>
      <w:r>
        <w:rPr>
          <w:rFonts w:ascii="Times New Roman" w:eastAsia="Times New Roman" w:hAnsi="Times New Roman" w:cs="Times New Roman"/>
          <w:sz w:val="24"/>
          <w:szCs w:val="24"/>
        </w:rPr>
        <w:t>. U.S. Department of Commerce.</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https://www.nist.gov/cyberframework</w:t>
        </w:r>
      </w:hyperlink>
    </w:p>
    <w:p w14:paraId="66A37127"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Standards and Technology. (2018). </w:t>
      </w:r>
      <w:r>
        <w:rPr>
          <w:rFonts w:ascii="Times New Roman" w:eastAsia="Times New Roman" w:hAnsi="Times New Roman" w:cs="Times New Roman"/>
          <w:i/>
          <w:iCs/>
          <w:sz w:val="24"/>
          <w:szCs w:val="24"/>
        </w:rPr>
        <w:t>Framework for improving critical infrastructure cybersecurity, Version 1.1</w:t>
      </w:r>
      <w:r>
        <w:rPr>
          <w:rFonts w:ascii="Times New Roman" w:eastAsia="Times New Roman" w:hAnsi="Times New Roman" w:cs="Times New Roman"/>
          <w:sz w:val="24"/>
          <w:szCs w:val="24"/>
        </w:rPr>
        <w:t>. U.S. Department of Commerce.</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https://www.nist.gov/cyberframework</w:t>
        </w:r>
      </w:hyperlink>
    </w:p>
    <w:p w14:paraId="2738E17A"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Standards and Technology. (2020). </w:t>
      </w:r>
      <w:r>
        <w:rPr>
          <w:rFonts w:ascii="Times New Roman" w:eastAsia="Times New Roman" w:hAnsi="Times New Roman" w:cs="Times New Roman"/>
          <w:i/>
          <w:iCs/>
          <w:sz w:val="24"/>
          <w:szCs w:val="24"/>
        </w:rPr>
        <w:t>Security and privacy controls for information systems and organizations (NIST Special Publication 800-53, Revision 5)</w:t>
      </w:r>
      <w:r>
        <w:rPr>
          <w:rFonts w:ascii="Times New Roman" w:eastAsia="Times New Roman" w:hAnsi="Times New Roman" w:cs="Times New Roman"/>
          <w:sz w:val="24"/>
          <w:szCs w:val="24"/>
        </w:rPr>
        <w:t>. U.S. Department of Commerce.</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https://doi.org/10.6028/NIST.SP.800-53r5</w:t>
        </w:r>
      </w:hyperlink>
    </w:p>
    <w:p w14:paraId="4C2EC5E8"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Nigeria Data Protection Commission. (2023). </w:t>
      </w:r>
      <w:r>
        <w:rPr>
          <w:rFonts w:ascii="Times New Roman" w:eastAsia="Times New Roman" w:hAnsi="Times New Roman" w:cs="Times New Roman"/>
          <w:i/>
          <w:iCs/>
          <w:sz w:val="24"/>
          <w:szCs w:val="24"/>
        </w:rPr>
        <w:t>Nigeria Data Protection Act, 2023</w:t>
      </w:r>
      <w:r>
        <w:rPr>
          <w:rFonts w:ascii="Times New Roman" w:eastAsia="Times New Roman" w:hAnsi="Times New Roman" w:cs="Times New Roman"/>
          <w:sz w:val="24"/>
          <w:szCs w:val="24"/>
        </w:rPr>
        <w:t>. Federal Republic of Nigeria.</w:t>
      </w:r>
    </w:p>
    <w:p w14:paraId="396B4526"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ISACA. (2019). </w:t>
      </w:r>
      <w:r>
        <w:rPr>
          <w:rFonts w:ascii="Times New Roman" w:eastAsia="Times New Roman" w:hAnsi="Times New Roman" w:cs="Times New Roman"/>
          <w:i/>
          <w:iCs/>
          <w:sz w:val="24"/>
          <w:szCs w:val="24"/>
        </w:rPr>
        <w:t>COBIT 2019 framework: Governance and management objectives</w:t>
      </w:r>
      <w:r>
        <w:rPr>
          <w:rFonts w:ascii="Times New Roman" w:eastAsia="Times New Roman" w:hAnsi="Times New Roman" w:cs="Times New Roman"/>
          <w:sz w:val="24"/>
          <w:szCs w:val="24"/>
        </w:rPr>
        <w:t>. ISACA.</w:t>
      </w:r>
    </w:p>
    <w:p w14:paraId="6348A3E9"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Card Industry Security Standards Council. (2024). </w:t>
      </w:r>
      <w:r>
        <w:rPr>
          <w:rFonts w:ascii="Times New Roman" w:eastAsia="Times New Roman" w:hAnsi="Times New Roman" w:cs="Times New Roman"/>
          <w:i/>
          <w:iCs/>
          <w:sz w:val="24"/>
          <w:szCs w:val="24"/>
        </w:rPr>
        <w:t>Payment Card Industry Data Security Standard: Requirements and testing procedures, Version 4.0.1</w:t>
      </w:r>
      <w:r>
        <w:rPr>
          <w:rFonts w:ascii="Times New Roman" w:eastAsia="Times New Roman" w:hAnsi="Times New Roman" w:cs="Times New Roman"/>
          <w:sz w:val="24"/>
          <w:szCs w:val="24"/>
        </w:rPr>
        <w:t>. PCI Security Standards Council.</w:t>
      </w:r>
    </w:p>
    <w:p w14:paraId="74C50B11"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 Department of Health &amp; Human Services. (2013). </w:t>
      </w:r>
      <w:r>
        <w:rPr>
          <w:rFonts w:ascii="Times New Roman" w:eastAsia="Times New Roman" w:hAnsi="Times New Roman" w:cs="Times New Roman"/>
          <w:i/>
          <w:iCs/>
          <w:sz w:val="24"/>
          <w:szCs w:val="24"/>
        </w:rPr>
        <w:t>Health Insurance Portability and Accountability Act of 1996 (HIPAA): Security Rule</w:t>
      </w:r>
      <w:r>
        <w:rPr>
          <w:rFonts w:ascii="Times New Roman" w:eastAsia="Times New Roman" w:hAnsi="Times New Roman" w:cs="Times New Roman"/>
          <w:sz w:val="24"/>
          <w:szCs w:val="24"/>
        </w:rPr>
        <w:t>.</w:t>
      </w:r>
      <w:hyperlink r:id="rId21">
        <w:r>
          <w:rPr>
            <w:rFonts w:ascii="Times New Roman" w:eastAsia="Times New Roman" w:hAnsi="Times New Roman" w:cs="Times New Roman"/>
            <w:sz w:val="24"/>
            <w:szCs w:val="24"/>
          </w:rPr>
          <w:t xml:space="preserve"> </w:t>
        </w:r>
      </w:hyperlink>
      <w:hyperlink r:id="rId22">
        <w:r>
          <w:rPr>
            <w:rFonts w:ascii="Times New Roman" w:eastAsia="Times New Roman" w:hAnsi="Times New Roman" w:cs="Times New Roman"/>
            <w:color w:val="1155CC"/>
            <w:sz w:val="24"/>
            <w:szCs w:val="24"/>
            <w:u w:val="single"/>
          </w:rPr>
          <w:t>https://www.hhs.gov/hipaa/</w:t>
        </w:r>
      </w:hyperlink>
    </w:p>
    <w:p w14:paraId="46467AD2" w14:textId="77777777" w:rsidR="000E6C29"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European Parliament &amp; Council of the European Union. (2016). </w:t>
      </w:r>
      <w:r>
        <w:rPr>
          <w:rFonts w:ascii="Times New Roman" w:eastAsia="Times New Roman" w:hAnsi="Times New Roman" w:cs="Times New Roman"/>
          <w:i/>
          <w:iCs/>
          <w:sz w:val="24"/>
          <w:szCs w:val="24"/>
        </w:rPr>
        <w:t>Regulation (EU) 2016/679 - General Data Protection Regulation (GDPR)</w:t>
      </w:r>
      <w:r>
        <w:rPr>
          <w:rFonts w:ascii="Times New Roman" w:eastAsia="Times New Roman" w:hAnsi="Times New Roman" w:cs="Times New Roman"/>
          <w:sz w:val="24"/>
          <w:szCs w:val="24"/>
        </w:rPr>
        <w:t>. Official Journal of the European Union.</w:t>
      </w:r>
    </w:p>
    <w:p w14:paraId="18E296A5" w14:textId="77777777" w:rsidR="000E6C29"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ISC2. (n.d.). </w:t>
      </w:r>
      <w:r>
        <w:rPr>
          <w:rFonts w:ascii="Times New Roman" w:eastAsia="Times New Roman" w:hAnsi="Times New Roman" w:cs="Times New Roman"/>
          <w:i/>
          <w:iCs/>
          <w:sz w:val="24"/>
          <w:szCs w:val="24"/>
        </w:rPr>
        <w:t>ISC2 Code of Ethics</w:t>
      </w:r>
      <w:r>
        <w:rPr>
          <w:rFonts w:ascii="Times New Roman" w:eastAsia="Times New Roman" w:hAnsi="Times New Roman" w:cs="Times New Roman"/>
          <w:sz w:val="24"/>
          <w:szCs w:val="24"/>
        </w:rPr>
        <w:t>. ISC 2.</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https://www.isc2.org/ethics</w:t>
        </w:r>
      </w:hyperlink>
    </w:p>
    <w:sectPr w:rsidR="000E6C29">
      <w:footerReference w:type="default" r:id="rId25"/>
      <w:footerReference w:type="first" r:id="rId26"/>
      <w:pgSz w:w="16838" w:h="23811"/>
      <w:pgMar w:top="1440" w:right="1440" w:bottom="1440" w:left="108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6DEB" w14:textId="77777777" w:rsidR="002470E9" w:rsidRDefault="002470E9">
      <w:pPr>
        <w:spacing w:line="240" w:lineRule="auto"/>
      </w:pPr>
      <w:r>
        <w:separator/>
      </w:r>
    </w:p>
  </w:endnote>
  <w:endnote w:type="continuationSeparator" w:id="0">
    <w:p w14:paraId="3D581E3E" w14:textId="77777777" w:rsidR="002470E9" w:rsidRDefault="002470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E08C71F-FD47-4B8D-A835-EDF9FCBAB8A8}"/>
  </w:font>
  <w:font w:name="Cambria">
    <w:panose1 w:val="02040503050406030204"/>
    <w:charset w:val="00"/>
    <w:family w:val="roman"/>
    <w:pitch w:val="variable"/>
    <w:sig w:usb0="E00006FF" w:usb1="420024FF" w:usb2="02000000" w:usb3="00000000" w:csb0="0000019F" w:csb1="00000000"/>
    <w:embedRegular r:id="rId2" w:fontKey="{CEB1C9AF-1B54-4165-A34A-0B5EFF6100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5A45" w14:textId="77777777" w:rsidR="000E6C29" w:rsidRDefault="00000000">
    <w:pPr>
      <w:jc w:val="right"/>
    </w:pPr>
    <w:r>
      <w:rPr>
        <w:rFonts w:ascii="Times New Roman" w:eastAsia="Times New Roman" w:hAnsi="Times New Roman" w:cs="Times New Roman"/>
        <w:b/>
        <w:bCs/>
        <w:sz w:val="72"/>
        <w:szCs w:val="72"/>
      </w:rPr>
      <w:fldChar w:fldCharType="begin"/>
    </w:r>
    <w:r>
      <w:rPr>
        <w:rFonts w:ascii="Times New Roman" w:eastAsia="Times New Roman" w:hAnsi="Times New Roman" w:cs="Times New Roman"/>
        <w:b/>
        <w:bCs/>
        <w:sz w:val="72"/>
        <w:szCs w:val="72"/>
      </w:rPr>
      <w:instrText>PAGE</w:instrText>
    </w:r>
    <w:r>
      <w:rPr>
        <w:rFonts w:ascii="Times New Roman" w:eastAsia="Times New Roman" w:hAnsi="Times New Roman" w:cs="Times New Roman"/>
        <w:b/>
        <w:bCs/>
        <w:sz w:val="72"/>
        <w:szCs w:val="72"/>
      </w:rPr>
      <w:fldChar w:fldCharType="separate"/>
    </w:r>
    <w:r w:rsidR="00297C62">
      <w:rPr>
        <w:rFonts w:ascii="Times New Roman" w:eastAsia="Times New Roman" w:hAnsi="Times New Roman" w:cs="Times New Roman"/>
        <w:b/>
        <w:bCs/>
        <w:noProof/>
        <w:sz w:val="72"/>
        <w:szCs w:val="72"/>
      </w:rPr>
      <w:t>1</w:t>
    </w:r>
    <w:r>
      <w:rPr>
        <w:rFonts w:ascii="Times New Roman" w:eastAsia="Times New Roman" w:hAnsi="Times New Roman" w:cs="Times New Roman"/>
        <w:b/>
        <w:bCs/>
        <w:sz w:val="72"/>
        <w:szCs w:val="7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C8BA" w14:textId="77777777" w:rsidR="000E6C29" w:rsidRDefault="000E6C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647B" w14:textId="77777777" w:rsidR="002470E9" w:rsidRDefault="002470E9">
      <w:pPr>
        <w:spacing w:line="240" w:lineRule="auto"/>
      </w:pPr>
      <w:r>
        <w:separator/>
      </w:r>
    </w:p>
  </w:footnote>
  <w:footnote w:type="continuationSeparator" w:id="0">
    <w:p w14:paraId="5CD1E35A" w14:textId="77777777" w:rsidR="002470E9" w:rsidRDefault="002470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20434"/>
    <w:multiLevelType w:val="multilevel"/>
    <w:tmpl w:val="4322F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588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C29"/>
    <w:rsid w:val="000E6C29"/>
    <w:rsid w:val="002470E9"/>
    <w:rsid w:val="00297C62"/>
    <w:rsid w:val="00F61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D931"/>
  <w15:docId w15:val="{F6CCDE75-BF89-4894-BC1D-C4E72E5E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tcPr>
      <w:shd w:val="clear" w:color="auto" w:fill="FCFCFC"/>
    </w:tc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so.org/standard/27001?tid=331662889277&amp;utm_source=chatgpt.com" TargetMode="External"/><Relationship Id="rId13" Type="http://schemas.openxmlformats.org/officeDocument/2006/relationships/hyperlink" Target="https://www.cisecurity.org/controls/v8-1" TargetMode="External"/><Relationship Id="rId18" Type="http://schemas.openxmlformats.org/officeDocument/2006/relationships/hyperlink" Target="https://www.nist.gov/cyberframework"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hhs.gov/hipaa/" TargetMode="External"/><Relationship Id="rId7" Type="http://schemas.openxmlformats.org/officeDocument/2006/relationships/hyperlink" Target="https://tsapps.nist.gov/publication/get_pdf.cfm?pub_id=957258&amp;utm_source=chatgpt.com" TargetMode="External"/><Relationship Id="rId12" Type="http://schemas.openxmlformats.org/officeDocument/2006/relationships/hyperlink" Target="https://www.cisecurity.org/controls/v8-1?utm_source=chatgpt.com" TargetMode="External"/><Relationship Id="rId17" Type="http://schemas.openxmlformats.org/officeDocument/2006/relationships/hyperlink" Target="https://www.nist.gov/cyberframework"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nist.gov/cyberframework" TargetMode="External"/><Relationship Id="rId20" Type="http://schemas.openxmlformats.org/officeDocument/2006/relationships/hyperlink" Target="https://doi.org/10.6028/NIST.SP.800-53r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uk-gdpr-guidance-and-resources/data-protection-principles/a-guide-to-the-data-protection-principles/?q=article+4%E2%80%AF%E2%80%AF%C2%A0&amp;utm_source=chatgpt.com" TargetMode="External"/><Relationship Id="rId24" Type="http://schemas.openxmlformats.org/officeDocument/2006/relationships/hyperlink" Target="https://www.isc2.org/ethics" TargetMode="External"/><Relationship Id="rId5" Type="http://schemas.openxmlformats.org/officeDocument/2006/relationships/footnotes" Target="footnotes.xml"/><Relationship Id="rId15" Type="http://schemas.openxmlformats.org/officeDocument/2006/relationships/hyperlink" Target="https://www.nist.gov/cyberframework" TargetMode="External"/><Relationship Id="rId23" Type="http://schemas.openxmlformats.org/officeDocument/2006/relationships/hyperlink" Target="https://www.isc2.org/ethics" TargetMode="External"/><Relationship Id="rId28" Type="http://schemas.openxmlformats.org/officeDocument/2006/relationships/theme" Target="theme/theme1.xml"/><Relationship Id="rId10" Type="http://schemas.openxmlformats.org/officeDocument/2006/relationships/hyperlink" Target="https://www.iso.org/standard/27001?tid=331662889277&amp;utm_source=chatgpt.com" TargetMode="External"/><Relationship Id="rId19" Type="http://schemas.openxmlformats.org/officeDocument/2006/relationships/hyperlink" Target="https://doi.org/10.6028/NIST.SP.800-53r5" TargetMode="External"/><Relationship Id="rId4" Type="http://schemas.openxmlformats.org/officeDocument/2006/relationships/webSettings" Target="webSettings.xml"/><Relationship Id="rId9" Type="http://schemas.openxmlformats.org/officeDocument/2006/relationships/hyperlink" Target="https://www.iso.org/standard/27001?tid=331662889277&amp;utm_source=chatgpt.com" TargetMode="External"/><Relationship Id="rId14" Type="http://schemas.openxmlformats.org/officeDocument/2006/relationships/hyperlink" Target="https://www.cisecurity.org/controls/v8-1" TargetMode="External"/><Relationship Id="rId22" Type="http://schemas.openxmlformats.org/officeDocument/2006/relationships/hyperlink" Target="https://www.hhs.gov/hipaa/"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2998</Words>
  <Characters>17094</Characters>
  <Application>Microsoft Office Word</Application>
  <DocSecurity>0</DocSecurity>
  <Lines>142</Lines>
  <Paragraphs>40</Paragraphs>
  <ScaleCrop>false</ScaleCrop>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ubanwoke blessing</cp:lastModifiedBy>
  <cp:revision>2</cp:revision>
  <dcterms:created xsi:type="dcterms:W3CDTF">2026-10-26T12:39:00Z</dcterms:created>
  <dcterms:modified xsi:type="dcterms:W3CDTF">2026-10-26T12:45:00Z</dcterms:modified>
</cp:coreProperties>
</file>