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JUDGEMENT REFLECTION </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agree with the senior analyst's suggestions. I recognize that technical proficiency is crucial, particularly in cybersecurity, but I don't think professional standards and technical proficiency can be detached. I learned from my D1 studies that frameworks are more than just documentation. For instance, I mentioned in my CIS Controls v8.1 row that the framework offers prioritized security measures to lower cybersecurity risk and enhance an organization's security posture. That alone transformed how I think of frameworks, which are now useful guidelines for determining what should be safeguarded, tracked, and enhanced rather than only compliance to related paperwork.</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politely reply at the time: I think it's important to have technical skills, and I want to improve my technical abilities. However, based on what I discovered during onboarding, the frameworks serve as a guide for the application of those technical talents. Knowing how to accomplish a task is different from knowing if I should do it, how to do it properly, and how to explain the decision to the client, thus I would prefer to understand both. Since the analyst has more experience than I have, I wouldn't confront them directly, but I also wouldn't disregard the lessons I acquired throughout onboarding.</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of actual systems and client trust are actually at risk. Junior consultants may begin to see security controls as optional if they think frameworks and policies are unimportant. Because they are just concerned with finishing the technical assignment, a junior analyst can, for instance, make an unauthorized configuration change, neglect to document a significant discovery, ignore a necessary control, or handle sensitive client information recklessly. One little choice could lead to a vulnerability, a compliance issue, or harm the consultancy's standing.</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 I of the ISC2 Code of Ethics, which reads, "Protect society, the common good, necessary public trust and confidence, and the infrastructure," is what I see being challenged here. The circumstance serves as a reminder that cybersecurity work impacts more than just individual employees. Clients, their clients, and the larger systems they rely on may be impacted by my technical choices. Therefore, gaining technical knowledge and skills while also using professional standards and ethical judgment is necessary to become a competent cybersecurity expert.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