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7372B2" w:rsidRDefault="00CC5941" w:rsidP="007372B2">
      <w:pPr>
        <w:pStyle w:val="Heading1"/>
      </w:pPr>
      <w:r>
        <w:t>Chapter 4: Software Process</w:t>
      </w:r>
    </w:p>
    <w:p w:rsidR="005D217E" w:rsidRDefault="007372B2" w:rsidP="007372B2">
      <w:r>
        <w:t>The capabilities of software have, no doubt, changed dramatically since the introduction of computers decades ago. Society’s increasing reliance on computers and software creates pressure for late-adopters to take the risk of using software. Software evolves because individuals and organizations are integrating</w:t>
      </w:r>
      <w:r w:rsidR="005D217E">
        <w:t xml:space="preserve"> computers into their activities.</w:t>
      </w:r>
    </w:p>
    <w:p w:rsidR="006457C1" w:rsidRDefault="006457C1" w:rsidP="007372B2">
      <w:r>
        <w:t xml:space="preserve">In order to build quality software systems, many organizations follow a formal approach to the software development process including formal methods, best practices, and adoption of standards. Many models have already been created and are universally understood as the “state-of-the-art” in software engineering [cite:waterfall/spiral/etc]. But the primary feature that these models have in common is </w:t>
      </w:r>
      <w:r>
        <w:rPr>
          <w:i/>
        </w:rPr>
        <w:t>iteration</w:t>
      </w:r>
      <w:r>
        <w:t>.</w:t>
      </w:r>
    </w:p>
    <w:p w:rsidR="00EB652E" w:rsidRDefault="00EB652E" w:rsidP="00EB652E">
      <w:pPr>
        <w:pStyle w:val="Heading2"/>
      </w:pPr>
      <w:r>
        <w:t>4.1 Reasonably Prudent Software Development</w:t>
      </w:r>
    </w:p>
    <w:p w:rsidR="002F37FB" w:rsidRDefault="00D77845" w:rsidP="00EB652E">
      <w:r>
        <w:t xml:space="preserve">salient point in </w:t>
      </w:r>
      <w:r>
        <w:rPr>
          <w:i/>
        </w:rPr>
        <w:t>all</w:t>
      </w:r>
      <w:r>
        <w:t xml:space="preserve"> models is</w:t>
      </w:r>
      <w:r w:rsidR="002F37FB">
        <w:t xml:space="preserve"> it</w:t>
      </w:r>
      <w:r>
        <w:t>eration – design/implement/test, repeat!</w:t>
      </w:r>
    </w:p>
    <w:p w:rsidR="007B6648" w:rsidRDefault="00A13BFF" w:rsidP="000D7332">
      <w:pPr>
        <w:pStyle w:val="Heading2"/>
      </w:pPr>
      <w:r>
        <w:t xml:space="preserve">4.2 </w:t>
      </w:r>
      <w:r w:rsidR="003243BB">
        <w:t>The Software Engineering State-of-the-Art</w:t>
      </w:r>
    </w:p>
    <w:p w:rsidR="00D77845" w:rsidRDefault="00D77845" w:rsidP="00EB652E">
      <w:r>
        <w:t>The state-of-the-art in software engineering refers to the “latest-and-greatest” tools, methodologies, and practices as agreed upon by members of the industry.</w:t>
      </w:r>
    </w:p>
    <w:p w:rsidR="00D64190" w:rsidRDefault="00D64190" w:rsidP="00D64190">
      <w:pPr>
        <w:pStyle w:val="Heading3"/>
      </w:pPr>
      <w:r>
        <w:t>4.2.</w:t>
      </w:r>
      <w:r w:rsidR="0012034E">
        <w:t>1</w:t>
      </w:r>
      <w:r>
        <w:t xml:space="preserve"> Output</w:t>
      </w:r>
    </w:p>
    <w:p w:rsidR="00E33425" w:rsidRDefault="00103A61" w:rsidP="00D64190">
      <w:r>
        <w:t>The state-of-the-art is created by software engineers themselves! Industry specialists or academic researchers come up with ideas that help projects they are working on and publish them.</w:t>
      </w:r>
      <w:r w:rsidR="00E33425">
        <w:t xml:space="preserve"> The work is reviewed;</w:t>
      </w:r>
      <w:r w:rsidR="00F02BE9">
        <w:t xml:space="preserve"> sometimes by a jury of peers, sometimes by the industry, sometimes by the users of the work.</w:t>
      </w:r>
      <w:r w:rsidR="00E33425">
        <w:t xml:space="preserve"> After several iterations of revisions, the idea garners the support of many and is accepted by a wide user base. As such, the industry and its members establish the work as state-of-the-art.</w:t>
      </w:r>
    </w:p>
    <w:p w:rsidR="00337FF3" w:rsidRDefault="00E33425" w:rsidP="00D64190">
      <w:r>
        <w:t>Many examples of the creation of software engineering state-of-the-art. Consider the C compiler.</w:t>
      </w:r>
      <w:r w:rsidR="00FF4020">
        <w:t xml:space="preserve"> Researchers from </w:t>
      </w:r>
      <w:r w:rsidR="00A75D30">
        <w:t>AT&amp;T Bell Labs</w:t>
      </w:r>
      <w:r w:rsidR="00BB0C0C">
        <w:t xml:space="preserve"> sought a way to simplify programming for microprocessors; something to make code more readable for humans.</w:t>
      </w:r>
      <w:r w:rsidR="00C96365">
        <w:t xml:space="preserve"> Before language compilers existed, programmers would use machine assembly to program computers. Programmers wrote the exact statements that were interpreted and executed by the processor.</w:t>
      </w:r>
    </w:p>
    <w:p w:rsidR="007B2B03" w:rsidRDefault="004C306F" w:rsidP="00D64190">
      <w:r>
        <w:t>Dennis Ritchie</w:t>
      </w:r>
      <w:r w:rsidR="00337FF3">
        <w:t xml:space="preserve"> created a set of basic control statements and a syntax that would become the C programming language. The same </w:t>
      </w:r>
      <w:r w:rsidR="00EA070B">
        <w:t xml:space="preserve">program written in </w:t>
      </w:r>
      <w:r w:rsidR="00337FF3">
        <w:t xml:space="preserve">assembly code could be </w:t>
      </w:r>
      <w:r w:rsidR="00EA070B">
        <w:t>re</w:t>
      </w:r>
      <w:r w:rsidR="00337FF3">
        <w:t xml:space="preserve">written in C in far fewer lines and humans would have an easier time understanding </w:t>
      </w:r>
      <w:r w:rsidR="00EA070B">
        <w:t>the program</w:t>
      </w:r>
      <w:r w:rsidR="00337FF3">
        <w:t>. The compiler would convert the high-level programming language into a machine assembly that a computer could understand.</w:t>
      </w:r>
    </w:p>
    <w:p w:rsidR="007B2B03" w:rsidRDefault="007B2B03" w:rsidP="00D64190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7B2B03">
        <w:tc>
          <w:tcPr>
            <w:tcW w:w="4428" w:type="dxa"/>
          </w:tcPr>
          <w:p w:rsidR="007B2B03" w:rsidRPr="007B2B03" w:rsidRDefault="007B2B03" w:rsidP="007B2B03">
            <w:pPr>
              <w:spacing w:before="0"/>
              <w:rPr>
                <w:rFonts w:ascii="Courier" w:hAnsi="Courier"/>
                <w:sz w:val="20"/>
              </w:rPr>
            </w:pPr>
            <w:r w:rsidRPr="007B2B03">
              <w:rPr>
                <w:rFonts w:ascii="Courier" w:hAnsi="Courier"/>
                <w:sz w:val="20"/>
              </w:rPr>
              <w:t>int main(char* args)</w:t>
            </w:r>
          </w:p>
          <w:p w:rsidR="007B2B03" w:rsidRPr="007B2B03" w:rsidRDefault="007B2B03" w:rsidP="007B2B03">
            <w:pPr>
              <w:spacing w:before="0"/>
              <w:rPr>
                <w:rFonts w:ascii="Courier" w:hAnsi="Courier"/>
                <w:sz w:val="20"/>
              </w:rPr>
            </w:pPr>
            <w:r w:rsidRPr="007B2B03">
              <w:rPr>
                <w:rFonts w:ascii="Courier" w:hAnsi="Courier"/>
                <w:sz w:val="20"/>
              </w:rPr>
              <w:t>{</w:t>
            </w:r>
          </w:p>
          <w:p w:rsidR="007B2B03" w:rsidRPr="007B2B03" w:rsidRDefault="007B2B03" w:rsidP="007B2B03">
            <w:pPr>
              <w:spacing w:before="0"/>
              <w:rPr>
                <w:rFonts w:ascii="Courier" w:hAnsi="Courier"/>
                <w:sz w:val="20"/>
              </w:rPr>
            </w:pPr>
            <w:r w:rsidRPr="007B2B03">
              <w:rPr>
                <w:rFonts w:ascii="Courier" w:hAnsi="Courier"/>
                <w:sz w:val="20"/>
              </w:rPr>
              <w:t xml:space="preserve">  int counter = 0;</w:t>
            </w:r>
          </w:p>
          <w:p w:rsidR="007B2B03" w:rsidRPr="007B2B03" w:rsidRDefault="007B2B03" w:rsidP="007B2B03">
            <w:pPr>
              <w:spacing w:before="0"/>
              <w:rPr>
                <w:rFonts w:ascii="Courier" w:hAnsi="Courier"/>
                <w:sz w:val="20"/>
              </w:rPr>
            </w:pPr>
            <w:r w:rsidRPr="007B2B03">
              <w:rPr>
                <w:rFonts w:ascii="Courier" w:hAnsi="Courier"/>
                <w:sz w:val="20"/>
              </w:rPr>
              <w:t xml:space="preserve">  int i;</w:t>
            </w:r>
          </w:p>
          <w:p w:rsidR="007B2B03" w:rsidRPr="007B2B03" w:rsidRDefault="007B2B03" w:rsidP="007B2B03">
            <w:pPr>
              <w:spacing w:before="0"/>
              <w:rPr>
                <w:rFonts w:ascii="Courier" w:hAnsi="Courier"/>
                <w:sz w:val="20"/>
              </w:rPr>
            </w:pPr>
            <w:r w:rsidRPr="007B2B03">
              <w:rPr>
                <w:rFonts w:ascii="Courier" w:hAnsi="Courier"/>
                <w:sz w:val="20"/>
              </w:rPr>
              <w:t xml:space="preserve">  for (i = 0; i &lt; 10; i++)</w:t>
            </w:r>
          </w:p>
          <w:p w:rsidR="007B2B03" w:rsidRPr="007B2B03" w:rsidRDefault="007B2B03" w:rsidP="007B2B03">
            <w:pPr>
              <w:spacing w:before="0"/>
              <w:rPr>
                <w:rFonts w:ascii="Courier" w:hAnsi="Courier"/>
                <w:sz w:val="20"/>
              </w:rPr>
            </w:pPr>
            <w:r w:rsidRPr="007B2B03">
              <w:rPr>
                <w:rFonts w:ascii="Courier" w:hAnsi="Courier"/>
                <w:sz w:val="20"/>
              </w:rPr>
              <w:t xml:space="preserve">  {</w:t>
            </w:r>
          </w:p>
          <w:p w:rsidR="007B2B03" w:rsidRPr="007B2B03" w:rsidRDefault="007B2B03" w:rsidP="007B2B03">
            <w:pPr>
              <w:spacing w:before="0"/>
              <w:rPr>
                <w:rFonts w:ascii="Courier" w:hAnsi="Courier"/>
                <w:sz w:val="20"/>
              </w:rPr>
            </w:pPr>
            <w:r w:rsidRPr="007B2B03">
              <w:rPr>
                <w:rFonts w:ascii="Courier" w:hAnsi="Courier"/>
                <w:sz w:val="20"/>
              </w:rPr>
              <w:t xml:space="preserve">    counter += i;</w:t>
            </w:r>
          </w:p>
          <w:p w:rsidR="007B2B03" w:rsidRPr="007B2B03" w:rsidRDefault="007B2B03" w:rsidP="007B2B03">
            <w:pPr>
              <w:spacing w:before="0"/>
              <w:rPr>
                <w:rFonts w:ascii="Courier" w:hAnsi="Courier"/>
                <w:sz w:val="20"/>
              </w:rPr>
            </w:pPr>
            <w:r w:rsidRPr="007B2B03">
              <w:rPr>
                <w:rFonts w:ascii="Courier" w:hAnsi="Courier"/>
                <w:sz w:val="20"/>
              </w:rPr>
              <w:t xml:space="preserve">  }</w:t>
            </w:r>
          </w:p>
          <w:p w:rsidR="007B2B03" w:rsidRPr="007B2B03" w:rsidRDefault="007B2B03" w:rsidP="007B2B03">
            <w:pPr>
              <w:spacing w:before="0"/>
              <w:rPr>
                <w:rFonts w:ascii="Courier" w:hAnsi="Courier"/>
                <w:sz w:val="20"/>
              </w:rPr>
            </w:pPr>
            <w:r w:rsidRPr="007B2B03">
              <w:rPr>
                <w:rFonts w:ascii="Courier" w:hAnsi="Courier"/>
                <w:sz w:val="20"/>
              </w:rPr>
              <w:t>}</w:t>
            </w:r>
          </w:p>
        </w:tc>
        <w:tc>
          <w:tcPr>
            <w:tcW w:w="4428" w:type="dxa"/>
          </w:tcPr>
          <w:p w:rsidR="007B2B03" w:rsidRPr="007B2B03" w:rsidRDefault="007B2B03" w:rsidP="007B2B03">
            <w:pPr>
              <w:spacing w:before="0"/>
              <w:rPr>
                <w:rFonts w:ascii="Courier" w:hAnsi="Courier"/>
                <w:sz w:val="20"/>
              </w:rPr>
            </w:pPr>
            <w:r w:rsidRPr="007B2B03">
              <w:rPr>
                <w:rFonts w:ascii="Courier" w:hAnsi="Courier"/>
                <w:sz w:val="20"/>
              </w:rPr>
              <w:tab/>
              <w:t>.text</w:t>
            </w:r>
          </w:p>
          <w:p w:rsidR="007B2B03" w:rsidRPr="007B2B03" w:rsidRDefault="007B2B03" w:rsidP="007B2B03">
            <w:pPr>
              <w:spacing w:before="0"/>
              <w:rPr>
                <w:rFonts w:ascii="Courier" w:hAnsi="Courier"/>
                <w:sz w:val="20"/>
              </w:rPr>
            </w:pPr>
            <w:r w:rsidRPr="007B2B03">
              <w:rPr>
                <w:rFonts w:ascii="Courier" w:hAnsi="Courier"/>
                <w:sz w:val="20"/>
              </w:rPr>
              <w:t>.globl _main</w:t>
            </w:r>
          </w:p>
          <w:p w:rsidR="007B2B03" w:rsidRPr="007B2B03" w:rsidRDefault="007B2B03" w:rsidP="007B2B03">
            <w:pPr>
              <w:spacing w:before="0"/>
              <w:rPr>
                <w:rFonts w:ascii="Courier" w:hAnsi="Courier"/>
                <w:sz w:val="20"/>
              </w:rPr>
            </w:pPr>
            <w:r w:rsidRPr="007B2B03">
              <w:rPr>
                <w:rFonts w:ascii="Courier" w:hAnsi="Courier"/>
                <w:sz w:val="20"/>
              </w:rPr>
              <w:t>_main:</w:t>
            </w:r>
          </w:p>
          <w:p w:rsidR="007B2B03" w:rsidRPr="007B2B03" w:rsidRDefault="007B2B03" w:rsidP="007B2B03">
            <w:pPr>
              <w:spacing w:before="0"/>
              <w:rPr>
                <w:rFonts w:ascii="Courier" w:hAnsi="Courier"/>
                <w:sz w:val="20"/>
              </w:rPr>
            </w:pPr>
            <w:r w:rsidRPr="007B2B03">
              <w:rPr>
                <w:rFonts w:ascii="Courier" w:hAnsi="Courier"/>
                <w:sz w:val="20"/>
              </w:rPr>
              <w:tab/>
              <w:t>pushl</w:t>
            </w:r>
            <w:r w:rsidRPr="007B2B03">
              <w:rPr>
                <w:rFonts w:ascii="Courier" w:hAnsi="Courier"/>
                <w:sz w:val="20"/>
              </w:rPr>
              <w:tab/>
              <w:t>%ebp</w:t>
            </w:r>
          </w:p>
          <w:p w:rsidR="007B2B03" w:rsidRPr="007B2B03" w:rsidRDefault="007B2B03" w:rsidP="007B2B03">
            <w:pPr>
              <w:spacing w:before="0"/>
              <w:rPr>
                <w:rFonts w:ascii="Courier" w:hAnsi="Courier"/>
                <w:sz w:val="20"/>
              </w:rPr>
            </w:pPr>
            <w:r w:rsidRPr="007B2B03">
              <w:rPr>
                <w:rFonts w:ascii="Courier" w:hAnsi="Courier"/>
                <w:sz w:val="20"/>
              </w:rPr>
              <w:tab/>
              <w:t>movl</w:t>
            </w:r>
            <w:r w:rsidRPr="007B2B03">
              <w:rPr>
                <w:rFonts w:ascii="Courier" w:hAnsi="Courier"/>
                <w:sz w:val="20"/>
              </w:rPr>
              <w:tab/>
              <w:t>%esp, %ebp</w:t>
            </w:r>
          </w:p>
          <w:p w:rsidR="007B2B03" w:rsidRPr="007B2B03" w:rsidRDefault="007B2B03" w:rsidP="007B2B03">
            <w:pPr>
              <w:spacing w:before="0"/>
              <w:rPr>
                <w:rFonts w:ascii="Courier" w:hAnsi="Courier"/>
                <w:sz w:val="20"/>
              </w:rPr>
            </w:pPr>
            <w:r w:rsidRPr="007B2B03">
              <w:rPr>
                <w:rFonts w:ascii="Courier" w:hAnsi="Courier"/>
                <w:sz w:val="20"/>
              </w:rPr>
              <w:tab/>
              <w:t>subl</w:t>
            </w:r>
            <w:r w:rsidRPr="007B2B03">
              <w:rPr>
                <w:rFonts w:ascii="Courier" w:hAnsi="Courier"/>
                <w:sz w:val="20"/>
              </w:rPr>
              <w:tab/>
              <w:t>$24, %esp</w:t>
            </w:r>
          </w:p>
          <w:p w:rsidR="007B2B03" w:rsidRPr="007B2B03" w:rsidRDefault="007B2B03" w:rsidP="007B2B03">
            <w:pPr>
              <w:spacing w:before="0"/>
              <w:rPr>
                <w:rFonts w:ascii="Courier" w:hAnsi="Courier"/>
                <w:sz w:val="20"/>
              </w:rPr>
            </w:pPr>
            <w:r w:rsidRPr="007B2B03">
              <w:rPr>
                <w:rFonts w:ascii="Courier" w:hAnsi="Courier"/>
                <w:sz w:val="20"/>
              </w:rPr>
              <w:tab/>
              <w:t>movl</w:t>
            </w:r>
            <w:r w:rsidRPr="007B2B03">
              <w:rPr>
                <w:rFonts w:ascii="Courier" w:hAnsi="Courier"/>
                <w:sz w:val="20"/>
              </w:rPr>
              <w:tab/>
              <w:t>$0, -16(%ebp)</w:t>
            </w:r>
          </w:p>
          <w:p w:rsidR="007B2B03" w:rsidRPr="007B2B03" w:rsidRDefault="007B2B03" w:rsidP="007B2B03">
            <w:pPr>
              <w:spacing w:before="0"/>
              <w:rPr>
                <w:rFonts w:ascii="Courier" w:hAnsi="Courier"/>
                <w:sz w:val="20"/>
              </w:rPr>
            </w:pPr>
            <w:r w:rsidRPr="007B2B03">
              <w:rPr>
                <w:rFonts w:ascii="Courier" w:hAnsi="Courier"/>
                <w:sz w:val="20"/>
              </w:rPr>
              <w:tab/>
              <w:t>movl</w:t>
            </w:r>
            <w:r w:rsidRPr="007B2B03">
              <w:rPr>
                <w:rFonts w:ascii="Courier" w:hAnsi="Courier"/>
                <w:sz w:val="20"/>
              </w:rPr>
              <w:tab/>
              <w:t>$0, -12(%ebp)</w:t>
            </w:r>
          </w:p>
          <w:p w:rsidR="007B2B03" w:rsidRPr="007B2B03" w:rsidRDefault="007B2B03" w:rsidP="007B2B03">
            <w:pPr>
              <w:spacing w:before="0"/>
              <w:rPr>
                <w:rFonts w:ascii="Courier" w:hAnsi="Courier"/>
                <w:sz w:val="20"/>
              </w:rPr>
            </w:pPr>
            <w:r w:rsidRPr="007B2B03">
              <w:rPr>
                <w:rFonts w:ascii="Courier" w:hAnsi="Courier"/>
                <w:sz w:val="20"/>
              </w:rPr>
              <w:tab/>
              <w:t>jmp</w:t>
            </w:r>
            <w:r w:rsidRPr="007B2B03">
              <w:rPr>
                <w:rFonts w:ascii="Courier" w:hAnsi="Courier"/>
                <w:sz w:val="20"/>
              </w:rPr>
              <w:tab/>
              <w:t>L2</w:t>
            </w:r>
          </w:p>
          <w:p w:rsidR="007B2B03" w:rsidRPr="007B2B03" w:rsidRDefault="007B2B03" w:rsidP="007B2B03">
            <w:pPr>
              <w:spacing w:before="0"/>
              <w:rPr>
                <w:rFonts w:ascii="Courier" w:hAnsi="Courier"/>
                <w:sz w:val="20"/>
              </w:rPr>
            </w:pPr>
            <w:r w:rsidRPr="007B2B03">
              <w:rPr>
                <w:rFonts w:ascii="Courier" w:hAnsi="Courier"/>
                <w:sz w:val="20"/>
              </w:rPr>
              <w:t>L3:</w:t>
            </w:r>
          </w:p>
          <w:p w:rsidR="007B2B03" w:rsidRPr="007B2B03" w:rsidRDefault="007B2B03" w:rsidP="007B2B03">
            <w:pPr>
              <w:spacing w:before="0"/>
              <w:rPr>
                <w:rFonts w:ascii="Courier" w:hAnsi="Courier"/>
                <w:sz w:val="20"/>
              </w:rPr>
            </w:pPr>
            <w:r w:rsidRPr="007B2B03">
              <w:rPr>
                <w:rFonts w:ascii="Courier" w:hAnsi="Courier"/>
                <w:sz w:val="20"/>
              </w:rPr>
              <w:tab/>
              <w:t>movl</w:t>
            </w:r>
            <w:r w:rsidRPr="007B2B03">
              <w:rPr>
                <w:rFonts w:ascii="Courier" w:hAnsi="Courier"/>
                <w:sz w:val="20"/>
              </w:rPr>
              <w:tab/>
              <w:t>-12(%ebp), %eax</w:t>
            </w:r>
          </w:p>
          <w:p w:rsidR="007B2B03" w:rsidRPr="007B2B03" w:rsidRDefault="007B2B03" w:rsidP="007B2B03">
            <w:pPr>
              <w:spacing w:before="0"/>
              <w:rPr>
                <w:rFonts w:ascii="Courier" w:hAnsi="Courier"/>
                <w:sz w:val="20"/>
              </w:rPr>
            </w:pPr>
            <w:r w:rsidRPr="007B2B03">
              <w:rPr>
                <w:rFonts w:ascii="Courier" w:hAnsi="Courier"/>
                <w:sz w:val="20"/>
              </w:rPr>
              <w:tab/>
              <w:t>leal</w:t>
            </w:r>
            <w:r w:rsidRPr="007B2B03">
              <w:rPr>
                <w:rFonts w:ascii="Courier" w:hAnsi="Courier"/>
                <w:sz w:val="20"/>
              </w:rPr>
              <w:tab/>
              <w:t>-16(%ebp), %edx</w:t>
            </w:r>
          </w:p>
          <w:p w:rsidR="007B2B03" w:rsidRPr="007B2B03" w:rsidRDefault="007B2B03" w:rsidP="007B2B03">
            <w:pPr>
              <w:spacing w:before="0"/>
              <w:rPr>
                <w:rFonts w:ascii="Courier" w:hAnsi="Courier"/>
                <w:sz w:val="20"/>
              </w:rPr>
            </w:pPr>
            <w:r w:rsidRPr="007B2B03">
              <w:rPr>
                <w:rFonts w:ascii="Courier" w:hAnsi="Courier"/>
                <w:sz w:val="20"/>
              </w:rPr>
              <w:tab/>
              <w:t>addl</w:t>
            </w:r>
            <w:r w:rsidRPr="007B2B03">
              <w:rPr>
                <w:rFonts w:ascii="Courier" w:hAnsi="Courier"/>
                <w:sz w:val="20"/>
              </w:rPr>
              <w:tab/>
              <w:t>%eax, (%edx)</w:t>
            </w:r>
          </w:p>
          <w:p w:rsidR="007B2B03" w:rsidRPr="007B2B03" w:rsidRDefault="007B2B03" w:rsidP="007B2B03">
            <w:pPr>
              <w:spacing w:before="0"/>
              <w:rPr>
                <w:rFonts w:ascii="Courier" w:hAnsi="Courier"/>
                <w:sz w:val="20"/>
              </w:rPr>
            </w:pPr>
            <w:r w:rsidRPr="007B2B03">
              <w:rPr>
                <w:rFonts w:ascii="Courier" w:hAnsi="Courier"/>
                <w:sz w:val="20"/>
              </w:rPr>
              <w:tab/>
              <w:t>leal</w:t>
            </w:r>
            <w:r w:rsidRPr="007B2B03">
              <w:rPr>
                <w:rFonts w:ascii="Courier" w:hAnsi="Courier"/>
                <w:sz w:val="20"/>
              </w:rPr>
              <w:tab/>
              <w:t>-12(%ebp), %eax</w:t>
            </w:r>
          </w:p>
          <w:p w:rsidR="007B2B03" w:rsidRPr="007B2B03" w:rsidRDefault="007B2B03" w:rsidP="007B2B03">
            <w:pPr>
              <w:spacing w:before="0"/>
              <w:rPr>
                <w:rFonts w:ascii="Courier" w:hAnsi="Courier"/>
                <w:sz w:val="20"/>
              </w:rPr>
            </w:pPr>
            <w:r w:rsidRPr="007B2B03">
              <w:rPr>
                <w:rFonts w:ascii="Courier" w:hAnsi="Courier"/>
                <w:sz w:val="20"/>
              </w:rPr>
              <w:tab/>
              <w:t>incl</w:t>
            </w:r>
            <w:r w:rsidRPr="007B2B03">
              <w:rPr>
                <w:rFonts w:ascii="Courier" w:hAnsi="Courier"/>
                <w:sz w:val="20"/>
              </w:rPr>
              <w:tab/>
              <w:t>(%eax)</w:t>
            </w:r>
          </w:p>
          <w:p w:rsidR="007B2B03" w:rsidRPr="007B2B03" w:rsidRDefault="007B2B03" w:rsidP="007B2B03">
            <w:pPr>
              <w:spacing w:before="0"/>
              <w:rPr>
                <w:rFonts w:ascii="Courier" w:hAnsi="Courier"/>
                <w:sz w:val="20"/>
              </w:rPr>
            </w:pPr>
            <w:r w:rsidRPr="007B2B03">
              <w:rPr>
                <w:rFonts w:ascii="Courier" w:hAnsi="Courier"/>
                <w:sz w:val="20"/>
              </w:rPr>
              <w:t>L2:</w:t>
            </w:r>
          </w:p>
          <w:p w:rsidR="007B2B03" w:rsidRPr="007B2B03" w:rsidRDefault="007B2B03" w:rsidP="007B2B03">
            <w:pPr>
              <w:spacing w:before="0"/>
              <w:rPr>
                <w:rFonts w:ascii="Courier" w:hAnsi="Courier"/>
                <w:sz w:val="20"/>
              </w:rPr>
            </w:pPr>
            <w:r w:rsidRPr="007B2B03">
              <w:rPr>
                <w:rFonts w:ascii="Courier" w:hAnsi="Courier"/>
                <w:sz w:val="20"/>
              </w:rPr>
              <w:tab/>
              <w:t>cmpl</w:t>
            </w:r>
            <w:r w:rsidRPr="007B2B03">
              <w:rPr>
                <w:rFonts w:ascii="Courier" w:hAnsi="Courier"/>
                <w:sz w:val="20"/>
              </w:rPr>
              <w:tab/>
              <w:t>$9, -12(%ebp)</w:t>
            </w:r>
          </w:p>
          <w:p w:rsidR="007B2B03" w:rsidRPr="007B2B03" w:rsidRDefault="007B2B03" w:rsidP="007B2B03">
            <w:pPr>
              <w:spacing w:before="0"/>
              <w:rPr>
                <w:rFonts w:ascii="Courier" w:hAnsi="Courier"/>
                <w:sz w:val="20"/>
              </w:rPr>
            </w:pPr>
            <w:r w:rsidRPr="007B2B03">
              <w:rPr>
                <w:rFonts w:ascii="Courier" w:hAnsi="Courier"/>
                <w:sz w:val="20"/>
              </w:rPr>
              <w:tab/>
              <w:t>jle</w:t>
            </w:r>
            <w:r w:rsidRPr="007B2B03">
              <w:rPr>
                <w:rFonts w:ascii="Courier" w:hAnsi="Courier"/>
                <w:sz w:val="20"/>
              </w:rPr>
              <w:tab/>
              <w:t>L3</w:t>
            </w:r>
          </w:p>
          <w:p w:rsidR="007B2B03" w:rsidRPr="007B2B03" w:rsidRDefault="007B2B03" w:rsidP="007B2B03">
            <w:pPr>
              <w:spacing w:before="0"/>
              <w:rPr>
                <w:rFonts w:ascii="Courier" w:hAnsi="Courier"/>
                <w:sz w:val="20"/>
              </w:rPr>
            </w:pPr>
            <w:r w:rsidRPr="007B2B03">
              <w:rPr>
                <w:rFonts w:ascii="Courier" w:hAnsi="Courier"/>
                <w:sz w:val="20"/>
              </w:rPr>
              <w:tab/>
              <w:t>leave</w:t>
            </w:r>
          </w:p>
          <w:p w:rsidR="007B2B03" w:rsidRPr="007B2B03" w:rsidRDefault="007B2B03" w:rsidP="007B2B03">
            <w:pPr>
              <w:spacing w:before="0"/>
              <w:rPr>
                <w:rFonts w:ascii="Courier" w:hAnsi="Courier"/>
                <w:sz w:val="20"/>
              </w:rPr>
            </w:pPr>
            <w:r w:rsidRPr="007B2B03">
              <w:rPr>
                <w:rFonts w:ascii="Courier" w:hAnsi="Courier"/>
                <w:sz w:val="20"/>
              </w:rPr>
              <w:tab/>
              <w:t>ret</w:t>
            </w:r>
          </w:p>
          <w:p w:rsidR="007B2B03" w:rsidRPr="007B2B03" w:rsidRDefault="007B2B03" w:rsidP="007B2B03">
            <w:pPr>
              <w:spacing w:before="0"/>
              <w:rPr>
                <w:rFonts w:ascii="Courier" w:hAnsi="Courier"/>
                <w:sz w:val="20"/>
              </w:rPr>
            </w:pPr>
            <w:r w:rsidRPr="007B2B03">
              <w:rPr>
                <w:rFonts w:ascii="Courier" w:hAnsi="Courier"/>
                <w:sz w:val="20"/>
              </w:rPr>
              <w:tab/>
              <w:t>.subsections_via_symbols</w:t>
            </w:r>
          </w:p>
        </w:tc>
      </w:tr>
    </w:tbl>
    <w:p w:rsidR="00EA070B" w:rsidRDefault="00E72DEB" w:rsidP="00D64190">
      <w:r>
        <w:t>The two code fragments above do the exact same thing: compute the sum of all integers up to 10. The code on the left is written in C, while the code on the right is written in assembly.</w:t>
      </w:r>
    </w:p>
    <w:p w:rsidR="00D64190" w:rsidRDefault="00EA070B" w:rsidP="00D64190">
      <w:r>
        <w:t>But the C compiler did not immediately</w:t>
      </w:r>
      <w:r w:rsidR="0089742A">
        <w:t xml:space="preserve"> earn the attention or credit that it would later have.</w:t>
      </w:r>
      <w:r w:rsidR="003D2619">
        <w:t xml:space="preserve"> Initial iterations of the compiler would have for sure been buggy and engineers would be reluctant to use it. In fact, some organizations even forbade the use of high-level language compilers and forced their programmers to use a trusted assembly language instead.</w:t>
      </w:r>
      <w:r>
        <w:t xml:space="preserve"> </w:t>
      </w:r>
    </w:p>
    <w:p w:rsidR="0012034E" w:rsidRDefault="0012034E" w:rsidP="0012034E">
      <w:pPr>
        <w:pStyle w:val="Heading3"/>
      </w:pPr>
      <w:r>
        <w:t>4.2.2 Input</w:t>
      </w:r>
    </w:p>
    <w:p w:rsidR="000A1B5C" w:rsidRDefault="0012034E" w:rsidP="0012034E">
      <w:r>
        <w:t xml:space="preserve">When a software project begins, the team of software engineers decides what tools are best suited for the work they are to do. Likely, the team will employ </w:t>
      </w:r>
      <w:r w:rsidR="00222584">
        <w:t xml:space="preserve">the technologies that are </w:t>
      </w:r>
      <w:r w:rsidR="00D144BD">
        <w:t>best suited</w:t>
      </w:r>
      <w:r w:rsidR="00222584">
        <w:t xml:space="preserve"> for the project and </w:t>
      </w:r>
      <w:r>
        <w:t>what the indu</w:t>
      </w:r>
      <w:r w:rsidR="00222584">
        <w:t>stry considers state-of-the-art.</w:t>
      </w:r>
    </w:p>
    <w:p w:rsidR="000A1B5C" w:rsidRDefault="000A1B5C" w:rsidP="000A1B5C">
      <w:r>
        <w:t>Consider Microsoft’s Mediaroom IPTV platform. Engineers decided to build the set-top-box client on top of the .NET compact framework. The .NET CF was chosen as a platform to build on because the Microsoft engineers consider it state-of-the-art and the most appropriate technology for the job. If problems are found, developers can report them to the engineers that work on the .NET platform.</w:t>
      </w:r>
    </w:p>
    <w:p w:rsidR="00E52801" w:rsidRDefault="000A1B5C" w:rsidP="000A1B5C">
      <w:r>
        <w:t>For example, the .NET compact framework lacks useful try-parse methods to convert strings to primitive types like integers and booleans. While this feature exists for the PC version of the framework, Mediaroom engineers filed a feature request for this useful pattern to be included in the compact version. Framework engineers can revise the platform and state-of-the-art is updated.</w:t>
      </w:r>
    </w:p>
    <w:p w:rsidR="000A1B5C" w:rsidRPr="000A1B5C" w:rsidRDefault="00E52801" w:rsidP="000A1B5C">
      <w:r>
        <w:t>This pattern of updating the state-of-the-art through usage is especially apparent in open source software like the Linux kernel or the many projects built by the Apache Software Foundation.</w:t>
      </w:r>
    </w:p>
    <w:p w:rsidR="000A1B5C" w:rsidRDefault="001664C4" w:rsidP="001664C4">
      <w:pPr>
        <w:pStyle w:val="Heading1"/>
      </w:pPr>
      <w:r>
        <w:t>Chapter 5: Paving the Intersection</w:t>
      </w:r>
    </w:p>
    <w:sectPr w:rsidR="000A1B5C" w:rsidSect="00A13BF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49E09D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D"/>
    <w:multiLevelType w:val="singleLevel"/>
    <w:tmpl w:val="51440D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6B029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C1C6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8"/>
    <w:multiLevelType w:val="singleLevel"/>
    <w:tmpl w:val="1BBC4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A684A9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40C38"/>
    <w:rsid w:val="000A1B5C"/>
    <w:rsid w:val="000D7332"/>
    <w:rsid w:val="00103A61"/>
    <w:rsid w:val="0012034E"/>
    <w:rsid w:val="001664C4"/>
    <w:rsid w:val="00222584"/>
    <w:rsid w:val="002F37FB"/>
    <w:rsid w:val="003243BB"/>
    <w:rsid w:val="00337FF3"/>
    <w:rsid w:val="003D2619"/>
    <w:rsid w:val="003F5CC0"/>
    <w:rsid w:val="004C306F"/>
    <w:rsid w:val="004F2800"/>
    <w:rsid w:val="005D217E"/>
    <w:rsid w:val="006457C1"/>
    <w:rsid w:val="006C0DFE"/>
    <w:rsid w:val="007229E3"/>
    <w:rsid w:val="007372B2"/>
    <w:rsid w:val="007B2B03"/>
    <w:rsid w:val="007B6648"/>
    <w:rsid w:val="0080075A"/>
    <w:rsid w:val="0081184C"/>
    <w:rsid w:val="0086636D"/>
    <w:rsid w:val="0089742A"/>
    <w:rsid w:val="008A20DE"/>
    <w:rsid w:val="008E2829"/>
    <w:rsid w:val="009E587C"/>
    <w:rsid w:val="00A13BFF"/>
    <w:rsid w:val="00A75D30"/>
    <w:rsid w:val="00A91B57"/>
    <w:rsid w:val="00B467CB"/>
    <w:rsid w:val="00B713A2"/>
    <w:rsid w:val="00BB0C0C"/>
    <w:rsid w:val="00C2772A"/>
    <w:rsid w:val="00C55D9E"/>
    <w:rsid w:val="00C85596"/>
    <w:rsid w:val="00C96365"/>
    <w:rsid w:val="00CC4BD4"/>
    <w:rsid w:val="00CC5941"/>
    <w:rsid w:val="00D144BD"/>
    <w:rsid w:val="00D64190"/>
    <w:rsid w:val="00D77845"/>
    <w:rsid w:val="00E0146F"/>
    <w:rsid w:val="00E33425"/>
    <w:rsid w:val="00E52801"/>
    <w:rsid w:val="00E72DEB"/>
    <w:rsid w:val="00EA070B"/>
    <w:rsid w:val="00EB652E"/>
    <w:rsid w:val="00F02BE9"/>
    <w:rsid w:val="00F03A32"/>
    <w:rsid w:val="00F40C38"/>
    <w:rsid w:val="00FF2305"/>
    <w:rsid w:val="00FF402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829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72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5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41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2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7372B2"/>
  </w:style>
  <w:style w:type="character" w:customStyle="1" w:styleId="QuoteChar">
    <w:name w:val="Quote Char"/>
    <w:basedOn w:val="DefaultParagraphFont"/>
    <w:link w:val="Quote"/>
    <w:uiPriority w:val="29"/>
    <w:rsid w:val="007372B2"/>
  </w:style>
  <w:style w:type="character" w:customStyle="1" w:styleId="Heading2Char">
    <w:name w:val="Heading 2 Char"/>
    <w:basedOn w:val="DefaultParagraphFont"/>
    <w:link w:val="Heading2"/>
    <w:uiPriority w:val="9"/>
    <w:rsid w:val="00EB65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419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B2B0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672</Words>
  <Characters>3831</Characters>
  <Application>Microsoft Macintosh Word</Application>
  <DocSecurity>0</DocSecurity>
  <Lines>31</Lines>
  <Paragraphs>7</Paragraphs>
  <ScaleCrop>false</ScaleCrop>
  <Company>Microsoft</Company>
  <LinksUpToDate>false</LinksUpToDate>
  <CharactersWithSpaces>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Estrada</dc:creator>
  <cp:keywords/>
  <cp:lastModifiedBy>Bryan Estrada</cp:lastModifiedBy>
  <cp:revision>45</cp:revision>
  <dcterms:created xsi:type="dcterms:W3CDTF">2009-04-21T04:26:00Z</dcterms:created>
  <dcterms:modified xsi:type="dcterms:W3CDTF">2009-04-21T16:21:00Z</dcterms:modified>
</cp:coreProperties>
</file>