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5D5E6C" w:rsidRPr="00A430F4">
        <w:rPr>
          <w:color w:val="000000"/>
          <w:spacing w:val="2"/>
        </w:rPr>
        <w:t>технический университет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5D5E6C" w:rsidRDefault="009724A6" w:rsidP="005D5E6C">
      <w:pPr>
        <w:pStyle w:val="ac"/>
        <w:jc w:val="center"/>
        <w:rPr>
          <w:color w:val="000000"/>
          <w:spacing w:val="1"/>
        </w:rPr>
      </w:pPr>
      <w:r>
        <w:rPr>
          <w:color w:val="000000"/>
          <w:spacing w:val="1"/>
        </w:rPr>
        <w:t>Факультет технической кибернетики</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Pr="00A430F4" w:rsidRDefault="005D5E6C"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5D5E6C" w:rsidRDefault="005D5E6C" w:rsidP="005D5E6C">
      <w:pPr>
        <w:pStyle w:val="ac"/>
        <w:ind w:left="567"/>
        <w:jc w:val="left"/>
        <w:rPr>
          <w:spacing w:val="1"/>
        </w:rPr>
      </w:pPr>
      <w:r w:rsidRPr="005D5E6C">
        <w:t xml:space="preserve">Направление: 551800 — Технологические машины и оборудование </w:t>
      </w:r>
      <w:r w:rsidRPr="005D5E6C">
        <w:rPr>
          <w:spacing w:val="1"/>
        </w:rPr>
        <w:t>Специальность: 200500 — Электронное машиностроение</w:t>
      </w:r>
    </w:p>
    <w:p w:rsidR="005D5E6C" w:rsidRDefault="005D5E6C" w:rsidP="005D5E6C">
      <w:pPr>
        <w:pStyle w:val="ac"/>
        <w:ind w:left="567"/>
        <w:jc w:val="left"/>
      </w:pPr>
    </w:p>
    <w:p w:rsidR="005D5E6C" w:rsidRDefault="005D5E6C" w:rsidP="005D5E6C">
      <w:pPr>
        <w:pStyle w:val="ac"/>
        <w:ind w:left="567"/>
        <w:jc w:val="left"/>
      </w:pPr>
    </w:p>
    <w:p w:rsidR="005D5E6C" w:rsidRPr="005D5E6C" w:rsidRDefault="005D5E6C" w:rsidP="005D5E6C">
      <w:pPr>
        <w:pStyle w:val="ac"/>
        <w:ind w:left="567"/>
        <w:jc w:val="left"/>
      </w:pPr>
    </w:p>
    <w:p w:rsidR="005D5E6C" w:rsidRPr="005D5E6C" w:rsidRDefault="005D5E6C" w:rsidP="005D5E6C">
      <w:pPr>
        <w:pStyle w:val="ac"/>
        <w:ind w:left="567"/>
        <w:jc w:val="left"/>
      </w:pPr>
      <w:r w:rsidRPr="005D5E6C">
        <w:rPr>
          <w:spacing w:val="-1"/>
        </w:rPr>
        <w:t xml:space="preserve">Выполнил студент гр. </w:t>
      </w:r>
      <w:r>
        <w:rPr>
          <w:spacing w:val="-1"/>
        </w:rPr>
        <w:t>5085</w:t>
      </w:r>
      <w:r w:rsidRPr="005D5E6C">
        <w:rPr>
          <w:spacing w:val="-1"/>
        </w:rPr>
        <w:t>/2</w:t>
      </w:r>
      <w:r>
        <w:rPr>
          <w:spacing w:val="-3"/>
        </w:rPr>
        <w:tab/>
      </w:r>
      <w:r>
        <w:rPr>
          <w:spacing w:val="-3"/>
        </w:rPr>
        <w:tab/>
      </w:r>
      <w:r>
        <w:rPr>
          <w:spacing w:val="-3"/>
        </w:rPr>
        <w:tab/>
      </w:r>
      <w:r>
        <w:rPr>
          <w:spacing w:val="-3"/>
        </w:rPr>
        <w:tab/>
      </w:r>
      <w:r>
        <w:rPr>
          <w:spacing w:val="-3"/>
        </w:rPr>
        <w:tab/>
      </w:r>
      <w:r w:rsidRPr="005D5E6C">
        <w:rPr>
          <w:spacing w:val="5"/>
        </w:rPr>
        <w:t>Н.И. Иванов</w:t>
      </w:r>
    </w:p>
    <w:p w:rsidR="005D5E6C" w:rsidRDefault="005D5E6C" w:rsidP="005D5E6C">
      <w:pPr>
        <w:pStyle w:val="ac"/>
        <w:ind w:left="567"/>
        <w:jc w:val="left"/>
        <w:rPr>
          <w:spacing w:val="2"/>
        </w:rPr>
      </w:pPr>
      <w:r>
        <w:rPr>
          <w:spacing w:val="1"/>
        </w:rPr>
        <w:t>Руководитель</w:t>
      </w:r>
      <w:r>
        <w:rPr>
          <w:spacing w:val="1"/>
        </w:rPr>
        <w:tab/>
      </w:r>
      <w:r>
        <w:rPr>
          <w:spacing w:val="1"/>
        </w:rPr>
        <w:tab/>
      </w:r>
      <w:r>
        <w:rPr>
          <w:spacing w:val="1"/>
        </w:rPr>
        <w:tab/>
      </w:r>
      <w:r>
        <w:rPr>
          <w:spacing w:val="1"/>
        </w:rPr>
        <w:tab/>
      </w:r>
      <w:r>
        <w:rPr>
          <w:spacing w:val="1"/>
        </w:rPr>
        <w:tab/>
      </w:r>
      <w:r>
        <w:rPr>
          <w:spacing w:val="1"/>
        </w:rPr>
        <w:tab/>
      </w:r>
      <w:r>
        <w:rPr>
          <w:spacing w:val="1"/>
        </w:rPr>
        <w:tab/>
      </w:r>
      <w:r>
        <w:rPr>
          <w:spacing w:val="2"/>
        </w:rPr>
        <w:t>В.Ю. Сальников</w:t>
      </w:r>
    </w:p>
    <w:p w:rsidR="005D5E6C" w:rsidRDefault="005D5E6C" w:rsidP="005D5E6C">
      <w:pPr>
        <w:pStyle w:val="ac"/>
        <w:jc w:val="left"/>
        <w:rPr>
          <w:spacing w:val="2"/>
        </w:rPr>
      </w:pPr>
    </w:p>
    <w:p w:rsidR="005D5E6C" w:rsidRPr="005D5E6C" w:rsidRDefault="005D5E6C" w:rsidP="005D5E6C">
      <w:pPr>
        <w:pStyle w:val="ac"/>
        <w:jc w:val="left"/>
      </w:pPr>
    </w:p>
    <w:p w:rsidR="005D5E6C" w:rsidRPr="005D5E6C" w:rsidRDefault="005D5E6C" w:rsidP="005D5E6C">
      <w:pPr>
        <w:pStyle w:val="ac"/>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5D5E6C" w:rsidRPr="005D5E6C" w:rsidRDefault="005D5E6C" w:rsidP="005D5E6C">
      <w:pPr>
        <w:pStyle w:val="ac"/>
        <w:ind w:left="567"/>
        <w:jc w:val="left"/>
      </w:pPr>
      <w:r w:rsidRPr="005D5E6C">
        <w:rPr>
          <w:spacing w:val="1"/>
        </w:rPr>
        <w:t>(</w:t>
      </w:r>
      <w:proofErr w:type="spellStart"/>
      <w:r w:rsidRPr="005D5E6C">
        <w:rPr>
          <w:spacing w:val="1"/>
        </w:rPr>
        <w:t>уч</w:t>
      </w:r>
      <w:proofErr w:type="spellEnd"/>
      <w:r w:rsidRPr="005D5E6C">
        <w:rPr>
          <w:spacing w:val="1"/>
        </w:rPr>
        <w:t>. степень, должность)</w:t>
      </w:r>
      <w:r w:rsidRPr="005D5E6C">
        <w:tab/>
      </w:r>
      <w:r>
        <w:tab/>
      </w:r>
      <w:r>
        <w:tab/>
      </w:r>
      <w:r>
        <w:rPr>
          <w:spacing w:val="-3"/>
        </w:rPr>
        <w:tab/>
      </w:r>
      <w:r w:rsidRPr="005D5E6C">
        <w:tab/>
      </w:r>
      <w:r w:rsidRPr="005D5E6C">
        <w:rPr>
          <w:spacing w:val="3"/>
        </w:rPr>
        <w:t>(Ф., и., о.)</w:t>
      </w:r>
    </w:p>
    <w:p w:rsidR="005D5E6C" w:rsidRPr="005D5E6C" w:rsidRDefault="005D5E6C" w:rsidP="005D5E6C">
      <w:pPr>
        <w:pStyle w:val="ac"/>
        <w:ind w:left="567"/>
        <w:jc w:val="left"/>
      </w:pPr>
      <w:r w:rsidRPr="005D5E6C">
        <w:rPr>
          <w:spacing w:val="2"/>
        </w:rPr>
        <w:t>по вопросам охраны труда</w:t>
      </w:r>
    </w:p>
    <w:p w:rsidR="005D5E6C" w:rsidRPr="005D5E6C" w:rsidRDefault="005D5E6C" w:rsidP="005D5E6C">
      <w:pPr>
        <w:pStyle w:val="ac"/>
        <w:ind w:left="567"/>
        <w:jc w:val="left"/>
      </w:pPr>
      <w:r w:rsidRPr="005D5E6C">
        <w:rPr>
          <w:spacing w:val="1"/>
        </w:rPr>
        <w:t>(</w:t>
      </w:r>
      <w:proofErr w:type="spellStart"/>
      <w:r w:rsidRPr="005D5E6C">
        <w:rPr>
          <w:spacing w:val="1"/>
        </w:rPr>
        <w:t>уч</w:t>
      </w:r>
      <w:proofErr w:type="spellEnd"/>
      <w:r w:rsidRPr="005D5E6C">
        <w:rPr>
          <w:spacing w:val="1"/>
        </w:rPr>
        <w:t>. степень, должность)</w:t>
      </w:r>
      <w:r w:rsidRPr="005D5E6C">
        <w:tab/>
      </w:r>
      <w:r>
        <w:rPr>
          <w:spacing w:val="-3"/>
        </w:rPr>
        <w:tab/>
      </w:r>
      <w:r>
        <w:rPr>
          <w:spacing w:val="-3"/>
        </w:rPr>
        <w:tab/>
      </w:r>
      <w:r>
        <w:rPr>
          <w:spacing w:val="-3"/>
        </w:rPr>
        <w:tab/>
      </w:r>
      <w:r>
        <w:rPr>
          <w:spacing w:val="-3"/>
        </w:rPr>
        <w:tab/>
      </w:r>
      <w:r w:rsidRPr="005D5E6C">
        <w:rPr>
          <w:spacing w:val="2"/>
        </w:rPr>
        <w:t>(Ф., и., о.)</w:t>
      </w:r>
    </w:p>
    <w:p w:rsidR="005D5E6C" w:rsidRPr="005D5E6C" w:rsidRDefault="005D5E6C" w:rsidP="005D5E6C">
      <w:pPr>
        <w:pStyle w:val="ac"/>
        <w:ind w:left="567"/>
        <w:jc w:val="left"/>
      </w:pPr>
      <w:proofErr w:type="gramStart"/>
      <w:r w:rsidRPr="005D5E6C">
        <w:rPr>
          <w:spacing w:val="2"/>
        </w:rPr>
        <w:t>по</w:t>
      </w:r>
      <w:proofErr w:type="gramEnd"/>
      <w:r w:rsidRPr="005D5E6C">
        <w:rPr>
          <w:spacing w:val="2"/>
        </w:rPr>
        <w:t xml:space="preserve"> ... (если есть)</w:t>
      </w:r>
    </w:p>
    <w:p w:rsidR="005D5E6C" w:rsidRDefault="005D5E6C" w:rsidP="005D5E6C">
      <w:pPr>
        <w:pStyle w:val="ac"/>
        <w:ind w:left="567"/>
        <w:jc w:val="left"/>
        <w:rPr>
          <w:spacing w:val="2"/>
        </w:rPr>
      </w:pPr>
      <w:r w:rsidRPr="005D5E6C">
        <w:rPr>
          <w:spacing w:val="1"/>
        </w:rPr>
        <w:t>(</w:t>
      </w:r>
      <w:proofErr w:type="spellStart"/>
      <w:r w:rsidRPr="005D5E6C">
        <w:rPr>
          <w:spacing w:val="1"/>
        </w:rPr>
        <w:t>уч</w:t>
      </w:r>
      <w:proofErr w:type="spellEnd"/>
      <w:r w:rsidRPr="005D5E6C">
        <w:rPr>
          <w:spacing w:val="1"/>
        </w:rPr>
        <w:t>. степень, должность)</w:t>
      </w:r>
      <w:r w:rsidRPr="005D5E6C">
        <w:tab/>
      </w:r>
      <w:r>
        <w:rPr>
          <w:spacing w:val="-3"/>
        </w:rPr>
        <w:tab/>
      </w:r>
      <w:r>
        <w:rPr>
          <w:spacing w:val="-3"/>
        </w:rPr>
        <w:tab/>
      </w:r>
      <w:r>
        <w:rPr>
          <w:spacing w:val="-3"/>
        </w:rPr>
        <w:tab/>
      </w:r>
      <w:r>
        <w:rPr>
          <w:spacing w:val="-3"/>
        </w:rPr>
        <w:tab/>
      </w:r>
      <w:r w:rsidRPr="005D5E6C">
        <w:rPr>
          <w:spacing w:val="2"/>
        </w:rPr>
        <w:t>(Ф., и., о.)</w:t>
      </w:r>
    </w:p>
    <w:p w:rsidR="005D5E6C" w:rsidRDefault="005D5E6C" w:rsidP="005D5E6C">
      <w:pPr>
        <w:pStyle w:val="ac"/>
        <w:jc w:val="left"/>
        <w:rPr>
          <w:spacing w:val="2"/>
        </w:rPr>
      </w:pPr>
    </w:p>
    <w:p w:rsidR="005D5E6C" w:rsidRDefault="005D5E6C" w:rsidP="005D5E6C">
      <w:pPr>
        <w:pStyle w:val="ac"/>
        <w:jc w:val="left"/>
        <w:rPr>
          <w:spacing w:val="2"/>
        </w:rPr>
      </w:pPr>
    </w:p>
    <w:p w:rsidR="00ED145B" w:rsidRPr="002F2603" w:rsidRDefault="005D5E6C" w:rsidP="005D5E6C">
      <w:pPr>
        <w:pStyle w:val="ac"/>
        <w:jc w:val="center"/>
        <w:rPr>
          <w:lang w:val="en-US"/>
        </w:rPr>
      </w:pPr>
      <w:r w:rsidRPr="005D5E6C">
        <w:rPr>
          <w:spacing w:val="1"/>
        </w:rPr>
        <w:t xml:space="preserve">Санкт-Петербург </w:t>
      </w:r>
      <w:r w:rsidRPr="005D5E6C">
        <w:rPr>
          <w:spacing w:val="1"/>
        </w:rPr>
        <w:br/>
      </w:r>
      <w:r>
        <w:rPr>
          <w:spacing w:val="-14"/>
        </w:rPr>
        <w:t>20</w:t>
      </w:r>
      <w:r w:rsidR="002F2603">
        <w:rPr>
          <w:spacing w:val="-14"/>
          <w:lang w:val="en-US"/>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sdt>
      <w:sdtPr>
        <w:id w:val="638613866"/>
        <w:docPartObj>
          <w:docPartGallery w:val="Table of Contents"/>
          <w:docPartUnique/>
        </w:docPartObj>
      </w:sdtPr>
      <w:sdtContent>
        <w:p w:rsidR="000C7D44" w:rsidRPr="000C7D44" w:rsidRDefault="000C7D44" w:rsidP="000C7D44">
          <w:pPr>
            <w:spacing w:before="240"/>
            <w:ind w:firstLine="0"/>
            <w:jc w:val="center"/>
            <w:rPr>
              <w:sz w:val="32"/>
            </w:rPr>
          </w:pPr>
          <w:r w:rsidRPr="000C7D44">
            <w:rPr>
              <w:b/>
              <w:sz w:val="32"/>
            </w:rPr>
            <w:t>Оглавление</w:t>
          </w:r>
        </w:p>
        <w:p w:rsidR="00BE262F" w:rsidRDefault="000C7D44">
          <w:pPr>
            <w:pStyle w:val="12"/>
            <w:tabs>
              <w:tab w:val="right" w:leader="dot" w:pos="9628"/>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385178662" w:history="1">
            <w:r w:rsidR="00BE262F" w:rsidRPr="00620B33">
              <w:rPr>
                <w:rStyle w:val="af2"/>
                <w:noProof/>
              </w:rPr>
              <w:t>Введение</w:t>
            </w:r>
            <w:r w:rsidR="00BE262F">
              <w:rPr>
                <w:noProof/>
                <w:webHidden/>
              </w:rPr>
              <w:tab/>
            </w:r>
            <w:r w:rsidR="00BE262F">
              <w:rPr>
                <w:noProof/>
                <w:webHidden/>
              </w:rPr>
              <w:fldChar w:fldCharType="begin"/>
            </w:r>
            <w:r w:rsidR="00BE262F">
              <w:rPr>
                <w:noProof/>
                <w:webHidden/>
              </w:rPr>
              <w:instrText xml:space="preserve"> PAGEREF _Toc385178662 \h </w:instrText>
            </w:r>
            <w:r w:rsidR="00BE262F">
              <w:rPr>
                <w:noProof/>
                <w:webHidden/>
              </w:rPr>
            </w:r>
            <w:r w:rsidR="00BE262F">
              <w:rPr>
                <w:noProof/>
                <w:webHidden/>
              </w:rPr>
              <w:fldChar w:fldCharType="separate"/>
            </w:r>
            <w:r w:rsidR="00BE262F">
              <w:rPr>
                <w:noProof/>
                <w:webHidden/>
              </w:rPr>
              <w:t>5</w:t>
            </w:r>
            <w:r w:rsidR="00BE262F">
              <w:rPr>
                <w:noProof/>
                <w:webHidden/>
              </w:rPr>
              <w:fldChar w:fldCharType="end"/>
            </w:r>
          </w:hyperlink>
        </w:p>
        <w:p w:rsidR="00BE262F" w:rsidRDefault="00BE262F">
          <w:pPr>
            <w:pStyle w:val="12"/>
            <w:tabs>
              <w:tab w:val="right" w:leader="dot" w:pos="9628"/>
            </w:tabs>
            <w:rPr>
              <w:rFonts w:asciiTheme="minorHAnsi" w:eastAsiaTheme="minorEastAsia" w:hAnsiTheme="minorHAnsi" w:cstheme="minorBidi"/>
              <w:noProof/>
              <w:sz w:val="22"/>
              <w:szCs w:val="22"/>
              <w:lang w:eastAsia="ru-RU"/>
            </w:rPr>
          </w:pPr>
          <w:hyperlink w:anchor="_Toc385178663" w:history="1">
            <w:r w:rsidRPr="00620B33">
              <w:rPr>
                <w:rStyle w:val="af2"/>
                <w:noProof/>
              </w:rPr>
              <w:t>Техническое задание</w:t>
            </w:r>
            <w:r>
              <w:rPr>
                <w:noProof/>
                <w:webHidden/>
              </w:rPr>
              <w:tab/>
            </w:r>
            <w:r>
              <w:rPr>
                <w:noProof/>
                <w:webHidden/>
              </w:rPr>
              <w:fldChar w:fldCharType="begin"/>
            </w:r>
            <w:r>
              <w:rPr>
                <w:noProof/>
                <w:webHidden/>
              </w:rPr>
              <w:instrText xml:space="preserve"> PAGEREF _Toc385178663 \h </w:instrText>
            </w:r>
            <w:r>
              <w:rPr>
                <w:noProof/>
                <w:webHidden/>
              </w:rPr>
            </w:r>
            <w:r>
              <w:rPr>
                <w:noProof/>
                <w:webHidden/>
              </w:rPr>
              <w:fldChar w:fldCharType="separate"/>
            </w:r>
            <w:r>
              <w:rPr>
                <w:noProof/>
                <w:webHidden/>
              </w:rPr>
              <w:t>8</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71" w:history="1">
            <w:r w:rsidRPr="00620B33">
              <w:rPr>
                <w:rStyle w:val="af2"/>
                <w:noProof/>
              </w:rPr>
              <w:t>1.</w:t>
            </w:r>
            <w:r>
              <w:rPr>
                <w:rFonts w:asciiTheme="minorHAnsi" w:eastAsiaTheme="minorEastAsia" w:hAnsiTheme="minorHAnsi" w:cstheme="minorBidi"/>
                <w:noProof/>
                <w:sz w:val="22"/>
                <w:szCs w:val="22"/>
                <w:lang w:eastAsia="ru-RU"/>
              </w:rPr>
              <w:tab/>
            </w:r>
            <w:r w:rsidRPr="00620B33">
              <w:rPr>
                <w:rStyle w:val="af2"/>
                <w:noProof/>
              </w:rPr>
              <w:t>Обзор технологий защиты</w:t>
            </w:r>
            <w:r>
              <w:rPr>
                <w:noProof/>
                <w:webHidden/>
              </w:rPr>
              <w:tab/>
            </w:r>
            <w:r>
              <w:rPr>
                <w:noProof/>
                <w:webHidden/>
              </w:rPr>
              <w:fldChar w:fldCharType="begin"/>
            </w:r>
            <w:r>
              <w:rPr>
                <w:noProof/>
                <w:webHidden/>
              </w:rPr>
              <w:instrText xml:space="preserve"> PAGEREF _Toc385178671 \h </w:instrText>
            </w:r>
            <w:r>
              <w:rPr>
                <w:noProof/>
                <w:webHidden/>
              </w:rPr>
            </w:r>
            <w:r>
              <w:rPr>
                <w:noProof/>
                <w:webHidden/>
              </w:rPr>
              <w:fldChar w:fldCharType="separate"/>
            </w:r>
            <w:r>
              <w:rPr>
                <w:noProof/>
                <w:webHidden/>
              </w:rPr>
              <w:t>11</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2" w:history="1">
            <w:r w:rsidRPr="00620B33">
              <w:rPr>
                <w:rStyle w:val="af2"/>
                <w:noProof/>
              </w:rPr>
              <w:t>1.1.</w:t>
            </w:r>
            <w:r>
              <w:rPr>
                <w:rFonts w:asciiTheme="minorHAnsi" w:eastAsiaTheme="minorEastAsia" w:hAnsiTheme="minorHAnsi" w:cstheme="minorBidi"/>
                <w:noProof/>
                <w:sz w:val="22"/>
                <w:szCs w:val="22"/>
                <w:lang w:eastAsia="ru-RU"/>
              </w:rPr>
              <w:tab/>
            </w:r>
            <w:r w:rsidRPr="00620B33">
              <w:rPr>
                <w:rStyle w:val="af2"/>
                <w:noProof/>
              </w:rPr>
              <w:t>Стеганография и водяные знаки</w:t>
            </w:r>
            <w:r>
              <w:rPr>
                <w:noProof/>
                <w:webHidden/>
              </w:rPr>
              <w:tab/>
            </w:r>
            <w:r>
              <w:rPr>
                <w:noProof/>
                <w:webHidden/>
              </w:rPr>
              <w:fldChar w:fldCharType="begin"/>
            </w:r>
            <w:r>
              <w:rPr>
                <w:noProof/>
                <w:webHidden/>
              </w:rPr>
              <w:instrText xml:space="preserve"> PAGEREF _Toc385178672 \h </w:instrText>
            </w:r>
            <w:r>
              <w:rPr>
                <w:noProof/>
                <w:webHidden/>
              </w:rPr>
            </w:r>
            <w:r>
              <w:rPr>
                <w:noProof/>
                <w:webHidden/>
              </w:rPr>
              <w:fldChar w:fldCharType="separate"/>
            </w:r>
            <w:r>
              <w:rPr>
                <w:noProof/>
                <w:webHidden/>
              </w:rPr>
              <w:t>11</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3" w:history="1">
            <w:r w:rsidRPr="00620B33">
              <w:rPr>
                <w:rStyle w:val="af2"/>
                <w:noProof/>
              </w:rPr>
              <w:t>1.2.</w:t>
            </w:r>
            <w:r>
              <w:rPr>
                <w:rFonts w:asciiTheme="minorHAnsi" w:eastAsiaTheme="minorEastAsia" w:hAnsiTheme="minorHAnsi" w:cstheme="minorBidi"/>
                <w:noProof/>
                <w:sz w:val="22"/>
                <w:szCs w:val="22"/>
                <w:lang w:eastAsia="ru-RU"/>
              </w:rPr>
              <w:tab/>
            </w:r>
            <w:r w:rsidRPr="00620B33">
              <w:rPr>
                <w:rStyle w:val="af2"/>
                <w:noProof/>
              </w:rPr>
              <w:t>Обфускация</w:t>
            </w:r>
            <w:r>
              <w:rPr>
                <w:noProof/>
                <w:webHidden/>
              </w:rPr>
              <w:tab/>
            </w:r>
            <w:r>
              <w:rPr>
                <w:noProof/>
                <w:webHidden/>
              </w:rPr>
              <w:fldChar w:fldCharType="begin"/>
            </w:r>
            <w:r>
              <w:rPr>
                <w:noProof/>
                <w:webHidden/>
              </w:rPr>
              <w:instrText xml:space="preserve"> PAGEREF _Toc385178673 \h </w:instrText>
            </w:r>
            <w:r>
              <w:rPr>
                <w:noProof/>
                <w:webHidden/>
              </w:rPr>
            </w:r>
            <w:r>
              <w:rPr>
                <w:noProof/>
                <w:webHidden/>
              </w:rPr>
              <w:fldChar w:fldCharType="separate"/>
            </w:r>
            <w:r>
              <w:rPr>
                <w:noProof/>
                <w:webHidden/>
              </w:rPr>
              <w:t>13</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4" w:history="1">
            <w:r w:rsidRPr="00620B33">
              <w:rPr>
                <w:rStyle w:val="af2"/>
                <w:noProof/>
              </w:rPr>
              <w:t>1.3.</w:t>
            </w:r>
            <w:r>
              <w:rPr>
                <w:rFonts w:asciiTheme="minorHAnsi" w:eastAsiaTheme="minorEastAsia" w:hAnsiTheme="minorHAnsi" w:cstheme="minorBidi"/>
                <w:noProof/>
                <w:sz w:val="22"/>
                <w:szCs w:val="22"/>
                <w:lang w:eastAsia="ru-RU"/>
              </w:rPr>
              <w:tab/>
            </w:r>
            <w:r w:rsidRPr="00620B33">
              <w:rPr>
                <w:rStyle w:val="af2"/>
                <w:noProof/>
              </w:rPr>
              <w:t>Упаковка</w:t>
            </w:r>
            <w:r>
              <w:rPr>
                <w:noProof/>
                <w:webHidden/>
              </w:rPr>
              <w:tab/>
            </w:r>
            <w:r>
              <w:rPr>
                <w:noProof/>
                <w:webHidden/>
              </w:rPr>
              <w:fldChar w:fldCharType="begin"/>
            </w:r>
            <w:r>
              <w:rPr>
                <w:noProof/>
                <w:webHidden/>
              </w:rPr>
              <w:instrText xml:space="preserve"> PAGEREF _Toc385178674 \h </w:instrText>
            </w:r>
            <w:r>
              <w:rPr>
                <w:noProof/>
                <w:webHidden/>
              </w:rPr>
            </w:r>
            <w:r>
              <w:rPr>
                <w:noProof/>
                <w:webHidden/>
              </w:rPr>
              <w:fldChar w:fldCharType="separate"/>
            </w:r>
            <w:r>
              <w:rPr>
                <w:noProof/>
                <w:webHidden/>
              </w:rPr>
              <w:t>15</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5" w:history="1">
            <w:r w:rsidRPr="00620B33">
              <w:rPr>
                <w:rStyle w:val="af2"/>
                <w:noProof/>
              </w:rPr>
              <w:t>1.4.</w:t>
            </w:r>
            <w:r>
              <w:rPr>
                <w:rFonts w:asciiTheme="minorHAnsi" w:eastAsiaTheme="minorEastAsia" w:hAnsiTheme="minorHAnsi" w:cstheme="minorBidi"/>
                <w:noProof/>
                <w:sz w:val="22"/>
                <w:szCs w:val="22"/>
                <w:lang w:eastAsia="ru-RU"/>
              </w:rPr>
              <w:tab/>
            </w:r>
            <w:r w:rsidRPr="00620B33">
              <w:rPr>
                <w:rStyle w:val="af2"/>
                <w:noProof/>
              </w:rPr>
              <w:t>Системы лицензирования</w:t>
            </w:r>
            <w:r>
              <w:rPr>
                <w:noProof/>
                <w:webHidden/>
              </w:rPr>
              <w:tab/>
            </w:r>
            <w:r>
              <w:rPr>
                <w:noProof/>
                <w:webHidden/>
              </w:rPr>
              <w:fldChar w:fldCharType="begin"/>
            </w:r>
            <w:r>
              <w:rPr>
                <w:noProof/>
                <w:webHidden/>
              </w:rPr>
              <w:instrText xml:space="preserve"> PAGEREF _Toc385178675 \h </w:instrText>
            </w:r>
            <w:r>
              <w:rPr>
                <w:noProof/>
                <w:webHidden/>
              </w:rPr>
            </w:r>
            <w:r>
              <w:rPr>
                <w:noProof/>
                <w:webHidden/>
              </w:rPr>
              <w:fldChar w:fldCharType="separate"/>
            </w:r>
            <w:r>
              <w:rPr>
                <w:noProof/>
                <w:webHidden/>
              </w:rPr>
              <w:t>16</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6" w:history="1">
            <w:r w:rsidRPr="00620B33">
              <w:rPr>
                <w:rStyle w:val="af2"/>
                <w:noProof/>
              </w:rPr>
              <w:t>1.5.</w:t>
            </w:r>
            <w:r>
              <w:rPr>
                <w:rFonts w:asciiTheme="minorHAnsi" w:eastAsiaTheme="minorEastAsia" w:hAnsiTheme="minorHAnsi" w:cstheme="minorBidi"/>
                <w:noProof/>
                <w:sz w:val="22"/>
                <w:szCs w:val="22"/>
                <w:lang w:eastAsia="ru-RU"/>
              </w:rPr>
              <w:tab/>
            </w:r>
            <w:r w:rsidRPr="00620B33">
              <w:rPr>
                <w:rStyle w:val="af2"/>
                <w:noProof/>
              </w:rPr>
              <w:t>Защита от модификаций</w:t>
            </w:r>
            <w:r>
              <w:rPr>
                <w:noProof/>
                <w:webHidden/>
              </w:rPr>
              <w:tab/>
            </w:r>
            <w:r>
              <w:rPr>
                <w:noProof/>
                <w:webHidden/>
              </w:rPr>
              <w:fldChar w:fldCharType="begin"/>
            </w:r>
            <w:r>
              <w:rPr>
                <w:noProof/>
                <w:webHidden/>
              </w:rPr>
              <w:instrText xml:space="preserve"> PAGEREF _Toc385178676 \h </w:instrText>
            </w:r>
            <w:r>
              <w:rPr>
                <w:noProof/>
                <w:webHidden/>
              </w:rPr>
            </w:r>
            <w:r>
              <w:rPr>
                <w:noProof/>
                <w:webHidden/>
              </w:rPr>
              <w:fldChar w:fldCharType="separate"/>
            </w:r>
            <w:r>
              <w:rPr>
                <w:noProof/>
                <w:webHidden/>
              </w:rPr>
              <w:t>16</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7" w:history="1">
            <w:r w:rsidRPr="00620B33">
              <w:rPr>
                <w:rStyle w:val="af2"/>
                <w:noProof/>
              </w:rPr>
              <w:t>1.6.</w:t>
            </w:r>
            <w:r>
              <w:rPr>
                <w:rFonts w:asciiTheme="minorHAnsi" w:eastAsiaTheme="minorEastAsia" w:hAnsiTheme="minorHAnsi" w:cstheme="minorBidi"/>
                <w:noProof/>
                <w:sz w:val="22"/>
                <w:szCs w:val="22"/>
                <w:lang w:eastAsia="ru-RU"/>
              </w:rPr>
              <w:tab/>
            </w:r>
            <w:r w:rsidRPr="00620B33">
              <w:rPr>
                <w:rStyle w:val="af2"/>
                <w:noProof/>
              </w:rPr>
              <w:t>Сокрытие данных</w:t>
            </w:r>
            <w:r>
              <w:rPr>
                <w:noProof/>
                <w:webHidden/>
              </w:rPr>
              <w:tab/>
            </w:r>
            <w:r>
              <w:rPr>
                <w:noProof/>
                <w:webHidden/>
              </w:rPr>
              <w:fldChar w:fldCharType="begin"/>
            </w:r>
            <w:r>
              <w:rPr>
                <w:noProof/>
                <w:webHidden/>
              </w:rPr>
              <w:instrText xml:space="preserve"> PAGEREF _Toc385178677 \h </w:instrText>
            </w:r>
            <w:r>
              <w:rPr>
                <w:noProof/>
                <w:webHidden/>
              </w:rPr>
            </w:r>
            <w:r>
              <w:rPr>
                <w:noProof/>
                <w:webHidden/>
              </w:rPr>
              <w:fldChar w:fldCharType="separate"/>
            </w:r>
            <w:r>
              <w:rPr>
                <w:noProof/>
                <w:webHidden/>
              </w:rPr>
              <w:t>17</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8" w:history="1">
            <w:r w:rsidRPr="00620B33">
              <w:rPr>
                <w:rStyle w:val="af2"/>
                <w:noProof/>
              </w:rPr>
              <w:t>1.7.</w:t>
            </w:r>
            <w:r>
              <w:rPr>
                <w:rFonts w:asciiTheme="minorHAnsi" w:eastAsiaTheme="minorEastAsia" w:hAnsiTheme="minorHAnsi" w:cstheme="minorBidi"/>
                <w:noProof/>
                <w:sz w:val="22"/>
                <w:szCs w:val="22"/>
                <w:lang w:eastAsia="ru-RU"/>
              </w:rPr>
              <w:tab/>
            </w:r>
            <w:r w:rsidRPr="00620B33">
              <w:rPr>
                <w:rStyle w:val="af2"/>
                <w:noProof/>
              </w:rPr>
              <w:t>Комплексный подход</w:t>
            </w:r>
            <w:r>
              <w:rPr>
                <w:noProof/>
                <w:webHidden/>
              </w:rPr>
              <w:tab/>
            </w:r>
            <w:r>
              <w:rPr>
                <w:noProof/>
                <w:webHidden/>
              </w:rPr>
              <w:fldChar w:fldCharType="begin"/>
            </w:r>
            <w:r>
              <w:rPr>
                <w:noProof/>
                <w:webHidden/>
              </w:rPr>
              <w:instrText xml:space="preserve"> PAGEREF _Toc385178678 \h </w:instrText>
            </w:r>
            <w:r>
              <w:rPr>
                <w:noProof/>
                <w:webHidden/>
              </w:rPr>
            </w:r>
            <w:r>
              <w:rPr>
                <w:noProof/>
                <w:webHidden/>
              </w:rPr>
              <w:fldChar w:fldCharType="separate"/>
            </w:r>
            <w:r>
              <w:rPr>
                <w:noProof/>
                <w:webHidden/>
              </w:rPr>
              <w:t>18</w:t>
            </w:r>
            <w:r>
              <w:rPr>
                <w:noProof/>
                <w:webHidden/>
              </w:rPr>
              <w:fldChar w:fldCharType="end"/>
            </w:r>
          </w:hyperlink>
        </w:p>
        <w:p w:rsidR="00BE262F" w:rsidRDefault="00BE262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5178679" w:history="1">
            <w:r w:rsidRPr="00620B33">
              <w:rPr>
                <w:rStyle w:val="af2"/>
                <w:noProof/>
              </w:rPr>
              <w:t>1.8.</w:t>
            </w:r>
            <w:r>
              <w:rPr>
                <w:rFonts w:asciiTheme="minorHAnsi" w:eastAsiaTheme="minorEastAsia" w:hAnsiTheme="minorHAnsi" w:cstheme="minorBidi"/>
                <w:noProof/>
                <w:sz w:val="22"/>
                <w:szCs w:val="22"/>
                <w:lang w:eastAsia="ru-RU"/>
              </w:rPr>
              <w:tab/>
            </w:r>
            <w:r w:rsidRPr="00620B33">
              <w:rPr>
                <w:rStyle w:val="af2"/>
                <w:noProof/>
              </w:rPr>
              <w:t>Обзор имеющихся решений</w:t>
            </w:r>
            <w:r>
              <w:rPr>
                <w:noProof/>
                <w:webHidden/>
              </w:rPr>
              <w:tab/>
            </w:r>
            <w:r>
              <w:rPr>
                <w:noProof/>
                <w:webHidden/>
              </w:rPr>
              <w:fldChar w:fldCharType="begin"/>
            </w:r>
            <w:r>
              <w:rPr>
                <w:noProof/>
                <w:webHidden/>
              </w:rPr>
              <w:instrText xml:space="preserve"> PAGEREF _Toc385178679 \h </w:instrText>
            </w:r>
            <w:r>
              <w:rPr>
                <w:noProof/>
                <w:webHidden/>
              </w:rPr>
            </w:r>
            <w:r>
              <w:rPr>
                <w:noProof/>
                <w:webHidden/>
              </w:rPr>
              <w:fldChar w:fldCharType="separate"/>
            </w:r>
            <w:r>
              <w:rPr>
                <w:noProof/>
                <w:webHidden/>
              </w:rPr>
              <w:t>18</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80" w:history="1">
            <w:r w:rsidRPr="00620B33">
              <w:rPr>
                <w:rStyle w:val="af2"/>
                <w:noProof/>
                <w:lang w:val="en-US"/>
              </w:rPr>
              <w:t>2.</w:t>
            </w:r>
            <w:r>
              <w:rPr>
                <w:rFonts w:asciiTheme="minorHAnsi" w:eastAsiaTheme="minorEastAsia" w:hAnsiTheme="minorHAnsi" w:cstheme="minorBidi"/>
                <w:noProof/>
                <w:sz w:val="22"/>
                <w:szCs w:val="22"/>
                <w:lang w:eastAsia="ru-RU"/>
              </w:rPr>
              <w:tab/>
            </w:r>
            <w:r w:rsidRPr="00620B33">
              <w:rPr>
                <w:rStyle w:val="af2"/>
                <w:noProof/>
                <w:shd w:val="clear" w:color="auto" w:fill="FFFFFF"/>
              </w:rPr>
              <w:t>Теоретическая разработка</w:t>
            </w:r>
            <w:r>
              <w:rPr>
                <w:noProof/>
                <w:webHidden/>
              </w:rPr>
              <w:tab/>
            </w:r>
            <w:r>
              <w:rPr>
                <w:noProof/>
                <w:webHidden/>
              </w:rPr>
              <w:fldChar w:fldCharType="begin"/>
            </w:r>
            <w:r>
              <w:rPr>
                <w:noProof/>
                <w:webHidden/>
              </w:rPr>
              <w:instrText xml:space="preserve"> PAGEREF _Toc385178680 \h </w:instrText>
            </w:r>
            <w:r>
              <w:rPr>
                <w:noProof/>
                <w:webHidden/>
              </w:rPr>
            </w:r>
            <w:r>
              <w:rPr>
                <w:noProof/>
                <w:webHidden/>
              </w:rPr>
              <w:fldChar w:fldCharType="separate"/>
            </w:r>
            <w:r>
              <w:rPr>
                <w:noProof/>
                <w:webHidden/>
              </w:rPr>
              <w:t>21</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81" w:history="1">
            <w:r w:rsidRPr="00620B33">
              <w:rPr>
                <w:rStyle w:val="af2"/>
                <w:noProof/>
                <w:lang w:val="en-US"/>
              </w:rPr>
              <w:t>3.</w:t>
            </w:r>
            <w:r>
              <w:rPr>
                <w:rFonts w:asciiTheme="minorHAnsi" w:eastAsiaTheme="minorEastAsia" w:hAnsiTheme="minorHAnsi" w:cstheme="minorBidi"/>
                <w:noProof/>
                <w:sz w:val="22"/>
                <w:szCs w:val="22"/>
                <w:lang w:eastAsia="ru-RU"/>
              </w:rPr>
              <w:tab/>
            </w:r>
            <w:r w:rsidRPr="00620B33">
              <w:rPr>
                <w:rStyle w:val="af2"/>
                <w:noProof/>
                <w:shd w:val="clear" w:color="auto" w:fill="FFFFFF"/>
              </w:rPr>
              <w:t>Реализация</w:t>
            </w:r>
            <w:r>
              <w:rPr>
                <w:noProof/>
                <w:webHidden/>
              </w:rPr>
              <w:tab/>
            </w:r>
            <w:r>
              <w:rPr>
                <w:noProof/>
                <w:webHidden/>
              </w:rPr>
              <w:fldChar w:fldCharType="begin"/>
            </w:r>
            <w:r>
              <w:rPr>
                <w:noProof/>
                <w:webHidden/>
              </w:rPr>
              <w:instrText xml:space="preserve"> PAGEREF _Toc385178681 \h </w:instrText>
            </w:r>
            <w:r>
              <w:rPr>
                <w:noProof/>
                <w:webHidden/>
              </w:rPr>
            </w:r>
            <w:r>
              <w:rPr>
                <w:noProof/>
                <w:webHidden/>
              </w:rPr>
              <w:fldChar w:fldCharType="separate"/>
            </w:r>
            <w:r>
              <w:rPr>
                <w:noProof/>
                <w:webHidden/>
              </w:rPr>
              <w:t>22</w:t>
            </w:r>
            <w:r>
              <w:rPr>
                <w:noProof/>
                <w:webHidden/>
              </w:rPr>
              <w:fldChar w:fldCharType="end"/>
            </w:r>
          </w:hyperlink>
        </w:p>
        <w:p w:rsidR="00BE262F" w:rsidRDefault="00BE262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5178682" w:history="1">
            <w:r w:rsidRPr="00620B33">
              <w:rPr>
                <w:rStyle w:val="af2"/>
                <w:noProof/>
                <w:lang w:val="en-US"/>
              </w:rPr>
              <w:t>4.</w:t>
            </w:r>
            <w:r>
              <w:rPr>
                <w:rFonts w:asciiTheme="minorHAnsi" w:eastAsiaTheme="minorEastAsia" w:hAnsiTheme="minorHAnsi" w:cstheme="minorBidi"/>
                <w:noProof/>
                <w:sz w:val="22"/>
                <w:szCs w:val="22"/>
                <w:lang w:eastAsia="ru-RU"/>
              </w:rPr>
              <w:tab/>
            </w:r>
            <w:r w:rsidRPr="00620B33">
              <w:rPr>
                <w:rStyle w:val="af2"/>
                <w:noProof/>
                <w:shd w:val="clear" w:color="auto" w:fill="FFFFFF"/>
              </w:rPr>
              <w:t>Тестирование</w:t>
            </w:r>
            <w:r>
              <w:rPr>
                <w:noProof/>
                <w:webHidden/>
              </w:rPr>
              <w:tab/>
            </w:r>
            <w:r>
              <w:rPr>
                <w:noProof/>
                <w:webHidden/>
              </w:rPr>
              <w:fldChar w:fldCharType="begin"/>
            </w:r>
            <w:r>
              <w:rPr>
                <w:noProof/>
                <w:webHidden/>
              </w:rPr>
              <w:instrText xml:space="preserve"> PAGEREF _Toc385178682 \h </w:instrText>
            </w:r>
            <w:r>
              <w:rPr>
                <w:noProof/>
                <w:webHidden/>
              </w:rPr>
            </w:r>
            <w:r>
              <w:rPr>
                <w:noProof/>
                <w:webHidden/>
              </w:rPr>
              <w:fldChar w:fldCharType="separate"/>
            </w:r>
            <w:r>
              <w:rPr>
                <w:noProof/>
                <w:webHidden/>
              </w:rPr>
              <w:t>23</w:t>
            </w:r>
            <w:r>
              <w:rPr>
                <w:noProof/>
                <w:webHidden/>
              </w:rPr>
              <w:fldChar w:fldCharType="end"/>
            </w:r>
          </w:hyperlink>
        </w:p>
        <w:p w:rsidR="00BE262F" w:rsidRDefault="00BE262F">
          <w:pPr>
            <w:pStyle w:val="12"/>
            <w:tabs>
              <w:tab w:val="right" w:leader="dot" w:pos="9628"/>
            </w:tabs>
            <w:rPr>
              <w:rFonts w:asciiTheme="minorHAnsi" w:eastAsiaTheme="minorEastAsia" w:hAnsiTheme="minorHAnsi" w:cstheme="minorBidi"/>
              <w:noProof/>
              <w:sz w:val="22"/>
              <w:szCs w:val="22"/>
              <w:lang w:eastAsia="ru-RU"/>
            </w:rPr>
          </w:pPr>
          <w:hyperlink w:anchor="_Toc385178683" w:history="1">
            <w:r w:rsidRPr="00620B33">
              <w:rPr>
                <w:rStyle w:val="af2"/>
                <w:noProof/>
              </w:rPr>
              <w:t>Список</w:t>
            </w:r>
            <w:r w:rsidRPr="00620B33">
              <w:rPr>
                <w:rStyle w:val="af2"/>
                <w:noProof/>
                <w:lang w:val="en-US"/>
              </w:rPr>
              <w:t xml:space="preserve"> </w:t>
            </w:r>
            <w:r w:rsidRPr="00620B33">
              <w:rPr>
                <w:rStyle w:val="af2"/>
                <w:noProof/>
              </w:rPr>
              <w:t>литературы</w:t>
            </w:r>
            <w:r>
              <w:rPr>
                <w:noProof/>
                <w:webHidden/>
              </w:rPr>
              <w:tab/>
            </w:r>
            <w:r>
              <w:rPr>
                <w:noProof/>
                <w:webHidden/>
              </w:rPr>
              <w:fldChar w:fldCharType="begin"/>
            </w:r>
            <w:r>
              <w:rPr>
                <w:noProof/>
                <w:webHidden/>
              </w:rPr>
              <w:instrText xml:space="preserve"> PAGEREF _Toc385178683 \h </w:instrText>
            </w:r>
            <w:r>
              <w:rPr>
                <w:noProof/>
                <w:webHidden/>
              </w:rPr>
            </w:r>
            <w:r>
              <w:rPr>
                <w:noProof/>
                <w:webHidden/>
              </w:rPr>
              <w:fldChar w:fldCharType="separate"/>
            </w:r>
            <w:r>
              <w:rPr>
                <w:noProof/>
                <w:webHidden/>
              </w:rPr>
              <w:t>24</w:t>
            </w:r>
            <w:r>
              <w:rPr>
                <w:noProof/>
                <w:webHidden/>
              </w:rPr>
              <w:fldChar w:fldCharType="end"/>
            </w:r>
          </w:hyperlink>
        </w:p>
        <w:p w:rsidR="000C7D44" w:rsidRDefault="000C7D44">
          <w:r>
            <w:fldChar w:fldCharType="end"/>
          </w:r>
        </w:p>
      </w:sdtContent>
    </w:sdt>
    <w:p w:rsidR="000C7D44" w:rsidRDefault="000C7D44" w:rsidP="005D5E6C">
      <w:pPr>
        <w:pStyle w:val="10"/>
        <w:sectPr w:rsidR="000C7D44" w:rsidSect="00BF55BF">
          <w:pgSz w:w="11906" w:h="16838"/>
          <w:pgMar w:top="962" w:right="1134" w:bottom="1134" w:left="1134" w:header="567" w:footer="709" w:gutter="0"/>
          <w:cols w:space="708"/>
          <w:docGrid w:linePitch="381"/>
        </w:sectPr>
      </w:pPr>
    </w:p>
    <w:p w:rsidR="007B68F1" w:rsidRPr="00BE262F" w:rsidRDefault="007B68F1" w:rsidP="00BE262F">
      <w:pPr>
        <w:spacing w:before="240"/>
        <w:jc w:val="center"/>
        <w:rPr>
          <w:b/>
          <w:sz w:val="32"/>
        </w:rPr>
      </w:pPr>
      <w:r w:rsidRPr="00BE262F">
        <w:rPr>
          <w:b/>
          <w:sz w:val="32"/>
        </w:rPr>
        <w:lastRenderedPageBreak/>
        <w:t>Перечень терминов и условных обозначений</w:t>
      </w:r>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r w:rsidRPr="006077E5">
        <w:rPr>
          <w:bCs/>
          <w:iCs/>
          <w:shd w:val="clear" w:color="auto" w:fill="FFFFFF"/>
          <w:lang/>
        </w:rPr>
        <w:t>Dynamic</w:t>
      </w:r>
      <w:r w:rsidRPr="006077E5">
        <w:rPr>
          <w:bCs/>
          <w:iCs/>
          <w:shd w:val="clear" w:color="auto" w:fill="FFFFFF"/>
        </w:rPr>
        <w:t xml:space="preserve"> </w:t>
      </w:r>
      <w:r w:rsidRPr="006077E5">
        <w:rPr>
          <w:bCs/>
          <w:iCs/>
          <w:shd w:val="clear" w:color="auto" w:fill="FFFFFF"/>
          <w:lang/>
        </w:rPr>
        <w:t>Link</w:t>
      </w:r>
      <w:r w:rsidRPr="006077E5">
        <w:rPr>
          <w:bCs/>
          <w:iCs/>
          <w:shd w:val="clear" w:color="auto" w:fill="FFFFFF"/>
        </w:rPr>
        <w:t xml:space="preserve"> </w:t>
      </w:r>
      <w:r w:rsidRPr="006077E5">
        <w:rPr>
          <w:bCs/>
          <w:iCs/>
          <w:shd w:val="clear" w:color="auto" w:fill="FFFFFF"/>
          <w:lang/>
        </w:rPr>
        <w:t>Library</w:t>
      </w:r>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6077E5" w:rsidRDefault="006077E5" w:rsidP="007B68F1">
      <w:proofErr w:type="spellStart"/>
      <w:r w:rsidRPr="00947E95">
        <w:rPr>
          <w:b/>
        </w:rPr>
        <w:lastRenderedPageBreak/>
        <w:t>Хеш-сумма</w:t>
      </w:r>
      <w:proofErr w:type="spellEnd"/>
      <w:r w:rsidR="00947E95">
        <w:t xml:space="preserve"> – </w:t>
      </w:r>
      <w:r w:rsidR="00947E95" w:rsidRPr="00947E95">
        <w:t>результат обработки неких данных хеш-функцией</w:t>
      </w:r>
      <w:r w:rsidR="00947E95">
        <w:t xml:space="preserve"> (функция, преобразующая по определенному алгоритму данные произвольной длины в строку фиксированной длины). </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BF55BF" w:rsidP="005D5E6C">
      <w:pPr>
        <w:pStyle w:val="10"/>
      </w:pPr>
      <w:bookmarkStart w:id="0" w:name="_Toc385178662"/>
      <w:r>
        <w:lastRenderedPageBreak/>
        <w:t>Введение</w:t>
      </w:r>
      <w:bookmarkEnd w:id="0"/>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0C7D44" w:rsidRDefault="000C7D44" w:rsidP="004E203B">
      <w:pPr>
        <w:sectPr w:rsidR="000C7D44" w:rsidSect="00BF55BF">
          <w:pgSz w:w="11906" w:h="16838"/>
          <w:pgMar w:top="962" w:right="1134" w:bottom="1134" w:left="1134" w:header="567" w:footer="709" w:gutter="0"/>
          <w:cols w:space="708"/>
          <w:docGrid w:linePitch="381"/>
        </w:sectPr>
      </w:pPr>
    </w:p>
    <w:p w:rsidR="004E203B" w:rsidRDefault="000C7D44" w:rsidP="000C7D44">
      <w:pPr>
        <w:pStyle w:val="10"/>
      </w:pPr>
      <w:bookmarkStart w:id="1" w:name="_Toc385178663"/>
      <w:r>
        <w:lastRenderedPageBreak/>
        <w:t>Техническое задание</w:t>
      </w:r>
      <w:bookmarkEnd w:id="1"/>
    </w:p>
    <w:p w:rsidR="000C7D44" w:rsidRDefault="00EC6E69" w:rsidP="007B68F1">
      <w:pPr>
        <w:pStyle w:val="2"/>
        <w:numPr>
          <w:ilvl w:val="0"/>
          <w:numId w:val="30"/>
        </w:numPr>
        <w:rPr>
          <w:rFonts w:eastAsia="Times New Roman"/>
          <w:lang w:eastAsia="ru-RU"/>
        </w:rPr>
      </w:pPr>
      <w:bookmarkStart w:id="2" w:name="_Toc385161357"/>
      <w:bookmarkStart w:id="3" w:name="_Toc385178664"/>
      <w:r>
        <w:rPr>
          <w:rFonts w:eastAsia="Times New Roman"/>
          <w:lang w:eastAsia="ru-RU"/>
        </w:rPr>
        <w:t>Введение</w:t>
      </w:r>
      <w:bookmarkEnd w:id="2"/>
      <w:bookmarkEnd w:id="3"/>
    </w:p>
    <w:p w:rsidR="00EC6E69" w:rsidRPr="003A583B" w:rsidRDefault="00E35F12" w:rsidP="00EC6E69">
      <w:pPr>
        <w:rPr>
          <w:lang w:eastAsia="ru-RU"/>
        </w:rPr>
      </w:pPr>
      <w:r>
        <w:rPr>
          <w:lang w:eastAsia="ru-RU"/>
        </w:rPr>
        <w:t xml:space="preserve">Данный программный продукт предназначен для защиты </w:t>
      </w:r>
      <w:r w:rsidR="003A583B">
        <w:rPr>
          <w:lang w:eastAsia="ru-RU"/>
        </w:rPr>
        <w:t>данных, используемых в приложениях</w:t>
      </w:r>
      <w:r w:rsidR="003A583B" w:rsidRPr="003A583B">
        <w:rPr>
          <w:lang w:eastAsia="ru-RU"/>
        </w:rPr>
        <w:t>,</w:t>
      </w:r>
      <w:r w:rsidR="003A583B">
        <w:rPr>
          <w:lang w:eastAsia="ru-RU"/>
        </w:rPr>
        <w:t xml:space="preserve"> написанных с использованием </w:t>
      </w:r>
      <w:r w:rsidR="003A583B" w:rsidRPr="003A583B">
        <w:rPr>
          <w:lang w:eastAsia="ru-RU"/>
        </w:rPr>
        <w:t>.</w:t>
      </w:r>
      <w:r w:rsidR="003A583B">
        <w:rPr>
          <w:lang w:val="en-US" w:eastAsia="ru-RU"/>
        </w:rPr>
        <w:t>NET</w:t>
      </w:r>
      <w:r w:rsidR="003A583B" w:rsidRPr="003A583B">
        <w:rPr>
          <w:lang w:eastAsia="ru-RU"/>
        </w:rPr>
        <w:t xml:space="preserve"> </w:t>
      </w:r>
      <w:r w:rsidR="003A583B">
        <w:rPr>
          <w:lang w:val="en-US" w:eastAsia="ru-RU"/>
        </w:rPr>
        <w:t>Framework</w:t>
      </w:r>
      <w:r w:rsidR="003A583B" w:rsidRPr="003A583B">
        <w:rPr>
          <w:lang w:eastAsia="ru-RU"/>
        </w:rPr>
        <w:t xml:space="preserve">. </w:t>
      </w:r>
      <w:r w:rsidR="003A583B">
        <w:rPr>
          <w:lang w:eastAsia="ru-RU"/>
        </w:rPr>
        <w:t>Программа модифицирует целевое приложение и тем самым защищает данные, находящиеся в памяти во время его работы.</w:t>
      </w:r>
    </w:p>
    <w:p w:rsidR="000C7D44" w:rsidRDefault="003A583B" w:rsidP="007B68F1">
      <w:pPr>
        <w:pStyle w:val="2"/>
        <w:numPr>
          <w:ilvl w:val="0"/>
          <w:numId w:val="30"/>
        </w:numPr>
        <w:rPr>
          <w:rFonts w:eastAsia="Times New Roman"/>
          <w:lang w:eastAsia="ru-RU"/>
        </w:rPr>
      </w:pPr>
      <w:bookmarkStart w:id="4" w:name="_Toc385161358"/>
      <w:bookmarkStart w:id="5" w:name="_Toc385178665"/>
      <w:r>
        <w:rPr>
          <w:rFonts w:eastAsia="Times New Roman"/>
          <w:lang w:eastAsia="ru-RU"/>
        </w:rPr>
        <w:t>Основания для разработки</w:t>
      </w:r>
      <w:bookmarkEnd w:id="4"/>
      <w:bookmarkEnd w:id="5"/>
    </w:p>
    <w:p w:rsidR="003A583B" w:rsidRPr="003A583B" w:rsidRDefault="003A583B" w:rsidP="003A583B">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0C7D44" w:rsidRDefault="003A583B" w:rsidP="007B68F1">
      <w:pPr>
        <w:pStyle w:val="2"/>
        <w:numPr>
          <w:ilvl w:val="0"/>
          <w:numId w:val="30"/>
        </w:numPr>
        <w:rPr>
          <w:rFonts w:eastAsia="Times New Roman"/>
          <w:lang w:eastAsia="ru-RU"/>
        </w:rPr>
      </w:pPr>
      <w:bookmarkStart w:id="6" w:name="_Toc385161359"/>
      <w:bookmarkStart w:id="7" w:name="_Toc385178666"/>
      <w:r>
        <w:rPr>
          <w:rFonts w:eastAsia="Times New Roman"/>
          <w:lang w:eastAsia="ru-RU"/>
        </w:rPr>
        <w:t>Назначение разработки</w:t>
      </w:r>
      <w:bookmarkEnd w:id="6"/>
      <w:bookmarkEnd w:id="7"/>
    </w:p>
    <w:p w:rsidR="003A583B" w:rsidRPr="003A583B" w:rsidRDefault="003A583B" w:rsidP="003A583B">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 xml:space="preserve">сборки путем внедрения кода, обеспечивающего определенную защиту. </w:t>
      </w:r>
      <w:r w:rsidR="00E778ED">
        <w:rPr>
          <w:lang w:eastAsia="ru-RU"/>
        </w:rPr>
        <w:t>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0C7D44" w:rsidRDefault="00E778ED" w:rsidP="007B68F1">
      <w:pPr>
        <w:pStyle w:val="2"/>
        <w:numPr>
          <w:ilvl w:val="0"/>
          <w:numId w:val="30"/>
        </w:numPr>
        <w:rPr>
          <w:rFonts w:eastAsia="Times New Roman"/>
          <w:lang w:eastAsia="ru-RU"/>
        </w:rPr>
      </w:pPr>
      <w:bookmarkStart w:id="8" w:name="_Toc385161360"/>
      <w:bookmarkStart w:id="9" w:name="_Toc385178667"/>
      <w:r>
        <w:rPr>
          <w:rFonts w:eastAsia="Times New Roman"/>
          <w:lang w:eastAsia="ru-RU"/>
        </w:rPr>
        <w:t>Т</w:t>
      </w:r>
      <w:r w:rsidR="000C7D44" w:rsidRPr="000C7D44">
        <w:rPr>
          <w:rFonts w:eastAsia="Times New Roman"/>
          <w:lang w:eastAsia="ru-RU"/>
        </w:rPr>
        <w:t xml:space="preserve">ребования к </w:t>
      </w:r>
      <w:r w:rsidR="00576769">
        <w:rPr>
          <w:rFonts w:eastAsia="Times New Roman"/>
          <w:lang w:eastAsia="ru-RU"/>
        </w:rPr>
        <w:t>программному продукту</w:t>
      </w:r>
      <w:bookmarkEnd w:id="8"/>
      <w:bookmarkEnd w:id="9"/>
      <w:r>
        <w:rPr>
          <w:rFonts w:eastAsia="Times New Roman"/>
          <w:lang w:eastAsia="ru-RU"/>
        </w:rPr>
        <w:t xml:space="preserve"> </w:t>
      </w:r>
    </w:p>
    <w:p w:rsidR="00576769" w:rsidRDefault="00576769" w:rsidP="00576769">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576769" w:rsidRDefault="00490C2C" w:rsidP="00576769">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sidR="00745244">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490C2C" w:rsidRDefault="00490C2C" w:rsidP="00576769">
      <w:pPr>
        <w:rPr>
          <w:lang w:eastAsia="ru-RU"/>
        </w:rPr>
      </w:pPr>
      <w:r>
        <w:rPr>
          <w:lang w:eastAsia="ru-RU"/>
        </w:rPr>
        <w:t xml:space="preserve">Логика защиты данных описана в отдельной </w:t>
      </w:r>
      <w:r w:rsidR="00745244">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490C2C" w:rsidRDefault="00490C2C" w:rsidP="00576769">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490C2C" w:rsidRPr="00ED3282" w:rsidRDefault="00490C2C" w:rsidP="00576769">
      <w:pPr>
        <w:rPr>
          <w:lang w:eastAsia="ru-RU"/>
        </w:rPr>
      </w:pPr>
      <w:r>
        <w:rPr>
          <w:lang w:eastAsia="ru-RU"/>
        </w:rPr>
        <w:lastRenderedPageBreak/>
        <w:t xml:space="preserve">Должна быть предусмотрена </w:t>
      </w:r>
      <w:r w:rsidR="00ED3282">
        <w:rPr>
          <w:lang w:eastAsia="ru-RU"/>
        </w:rPr>
        <w:t xml:space="preserve">возможность модификации приложения в ходе сборки проекта с использованием платформы </w:t>
      </w:r>
      <w:proofErr w:type="spellStart"/>
      <w:r w:rsidR="00ED3282">
        <w:rPr>
          <w:lang w:val="en-US" w:eastAsia="ru-RU"/>
        </w:rPr>
        <w:t>MSBuild</w:t>
      </w:r>
      <w:proofErr w:type="spellEnd"/>
      <w:r w:rsidR="00ED3282">
        <w:rPr>
          <w:lang w:eastAsia="ru-RU"/>
        </w:rPr>
        <w:t>.</w:t>
      </w:r>
    </w:p>
    <w:p w:rsidR="00576769" w:rsidRDefault="00490C2C" w:rsidP="00490C2C">
      <w:pPr>
        <w:ind w:firstLine="0"/>
        <w:rPr>
          <w:u w:val="single"/>
          <w:lang w:eastAsia="ru-RU"/>
        </w:rPr>
      </w:pPr>
      <w:r>
        <w:rPr>
          <w:u w:val="single"/>
          <w:lang w:eastAsia="ru-RU"/>
        </w:rPr>
        <w:t>Требования к надежности</w:t>
      </w:r>
    </w:p>
    <w:p w:rsidR="00490C2C" w:rsidRPr="00490C2C" w:rsidRDefault="00490C2C" w:rsidP="00490C2C">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составу и</w:t>
      </w:r>
      <w:r>
        <w:rPr>
          <w:u w:val="single"/>
          <w:lang w:eastAsia="ru-RU"/>
        </w:rPr>
        <w:t xml:space="preserve"> параметрам технических средств</w:t>
      </w:r>
    </w:p>
    <w:p w:rsidR="00ED3282" w:rsidRDefault="00ED3282" w:rsidP="00ED3282">
      <w:pPr>
        <w:ind w:firstLine="0"/>
        <w:rPr>
          <w:lang w:eastAsia="ru-RU"/>
        </w:rPr>
      </w:pPr>
      <w:r>
        <w:rPr>
          <w:lang w:eastAsia="ru-RU"/>
        </w:rPr>
        <w:tab/>
        <w:t>Минимальные технические характеристики:</w:t>
      </w:r>
    </w:p>
    <w:p w:rsidR="00ED3282" w:rsidRDefault="00ED3282" w:rsidP="00ED3282">
      <w:pPr>
        <w:pStyle w:val="ab"/>
        <w:numPr>
          <w:ilvl w:val="0"/>
          <w:numId w:val="24"/>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D3282" w:rsidRPr="00ED3282" w:rsidRDefault="00ED3282" w:rsidP="00ED3282">
      <w:pPr>
        <w:pStyle w:val="ab"/>
        <w:numPr>
          <w:ilvl w:val="0"/>
          <w:numId w:val="24"/>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D3282" w:rsidRPr="00ED3282" w:rsidRDefault="00ED3282" w:rsidP="00ED3282">
      <w:pPr>
        <w:pStyle w:val="ab"/>
        <w:numPr>
          <w:ilvl w:val="0"/>
          <w:numId w:val="24"/>
        </w:numPr>
        <w:rPr>
          <w:lang w:val="en-US" w:eastAsia="ru-RU"/>
        </w:rPr>
      </w:pPr>
      <w:r>
        <w:rPr>
          <w:lang w:val="en-US" w:eastAsia="ru-RU"/>
        </w:rPr>
        <w:t xml:space="preserve">.NET Framework 2.0 </w:t>
      </w:r>
      <w:r>
        <w:rPr>
          <w:lang w:eastAsia="ru-RU"/>
        </w:rPr>
        <w:t>и выше.</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информацион</w:t>
      </w:r>
      <w:r>
        <w:rPr>
          <w:u w:val="single"/>
          <w:lang w:eastAsia="ru-RU"/>
        </w:rPr>
        <w:t>ной и программной совместимости</w:t>
      </w:r>
    </w:p>
    <w:p w:rsidR="00ED3282" w:rsidRPr="00ED3282" w:rsidRDefault="00ED3282" w:rsidP="00ED3282">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576769" w:rsidRPr="00BA1F5B" w:rsidRDefault="00BA1F5B" w:rsidP="00BA1F5B">
      <w:pPr>
        <w:ind w:firstLine="0"/>
        <w:rPr>
          <w:u w:val="single"/>
          <w:lang w:eastAsia="ru-RU"/>
        </w:rPr>
      </w:pPr>
      <w:r>
        <w:rPr>
          <w:u w:val="single"/>
          <w:lang w:eastAsia="ru-RU"/>
        </w:rPr>
        <w:t>Специальные требования</w:t>
      </w:r>
    </w:p>
    <w:p w:rsidR="00E778ED" w:rsidRPr="00E778ED" w:rsidRDefault="00BA1F5B" w:rsidP="00BA1F5B">
      <w:pPr>
        <w:ind w:firstLine="708"/>
        <w:rPr>
          <w:lang w:eastAsia="ru-RU"/>
        </w:rPr>
      </w:pPr>
      <w:r w:rsidRPr="00BA1F5B">
        <w:rPr>
          <w:iCs/>
        </w:rPr>
        <w:t>Специальных требований к характеристикам программы не предъявляется</w:t>
      </w:r>
      <w:r>
        <w:rPr>
          <w:iCs/>
        </w:rPr>
        <w:t>.</w:t>
      </w:r>
    </w:p>
    <w:p w:rsidR="000C7D44" w:rsidRDefault="00BA1F5B" w:rsidP="007B68F1">
      <w:pPr>
        <w:pStyle w:val="2"/>
        <w:numPr>
          <w:ilvl w:val="0"/>
          <w:numId w:val="30"/>
        </w:numPr>
        <w:rPr>
          <w:rFonts w:eastAsia="Times New Roman"/>
          <w:lang w:eastAsia="ru-RU"/>
        </w:rPr>
      </w:pPr>
      <w:bookmarkStart w:id="10" w:name="_Toc385161361"/>
      <w:bookmarkStart w:id="11" w:name="_Toc385178668"/>
      <w:r>
        <w:rPr>
          <w:rFonts w:eastAsia="Times New Roman"/>
          <w:lang w:eastAsia="ru-RU"/>
        </w:rPr>
        <w:t>Технико-экономические показатели</w:t>
      </w:r>
      <w:bookmarkEnd w:id="10"/>
      <w:bookmarkEnd w:id="11"/>
    </w:p>
    <w:p w:rsidR="00BA1F5B" w:rsidRDefault="00BA1F5B" w:rsidP="00BA1F5B">
      <w:pPr>
        <w:rPr>
          <w:lang w:eastAsia="ru-RU"/>
        </w:rPr>
      </w:pPr>
      <w:r>
        <w:rPr>
          <w:lang w:eastAsia="ru-RU"/>
        </w:rPr>
        <w:t xml:space="preserve">Разрабатываемый продукт является бесплатным для распространения. </w:t>
      </w:r>
    </w:p>
    <w:p w:rsidR="00BA1F5B" w:rsidRPr="00BA1F5B" w:rsidRDefault="00BA1F5B" w:rsidP="00BA1F5B">
      <w:pPr>
        <w:rPr>
          <w:lang w:eastAsia="ru-RU"/>
        </w:rPr>
      </w:pPr>
      <w:r>
        <w:rPr>
          <w:lang w:eastAsia="ru-RU"/>
        </w:rPr>
        <w:t>Время, затраченное на разработку, составит 20 человеко-часов.</w:t>
      </w:r>
    </w:p>
    <w:p w:rsidR="000C7D44" w:rsidRDefault="00BA1F5B" w:rsidP="007B68F1">
      <w:pPr>
        <w:pStyle w:val="2"/>
        <w:numPr>
          <w:ilvl w:val="0"/>
          <w:numId w:val="30"/>
        </w:numPr>
        <w:rPr>
          <w:rFonts w:eastAsia="Times New Roman"/>
          <w:lang w:eastAsia="ru-RU"/>
        </w:rPr>
      </w:pPr>
      <w:bookmarkStart w:id="12" w:name="_Toc385161362"/>
      <w:bookmarkStart w:id="13" w:name="_Toc385178669"/>
      <w:r>
        <w:rPr>
          <w:rFonts w:eastAsia="Times New Roman"/>
          <w:lang w:eastAsia="ru-RU"/>
        </w:rPr>
        <w:t>Стадии и этапы разработки</w:t>
      </w:r>
      <w:bookmarkEnd w:id="12"/>
      <w:bookmarkEnd w:id="13"/>
    </w:p>
    <w:p w:rsidR="00BA1F5B" w:rsidRPr="00BA1F5B" w:rsidRDefault="00BA1F5B" w:rsidP="00BA1F5B">
      <w:pPr>
        <w:ind w:firstLine="0"/>
        <w:rPr>
          <w:u w:val="single"/>
          <w:lang w:eastAsia="ru-RU"/>
        </w:rPr>
      </w:pPr>
      <w:r w:rsidRPr="00BA1F5B">
        <w:rPr>
          <w:u w:val="single"/>
          <w:lang w:eastAsia="ru-RU"/>
        </w:rPr>
        <w:t>Эскизный проект – 1 час</w:t>
      </w:r>
    </w:p>
    <w:p w:rsidR="00BA1F5B" w:rsidRDefault="00BA1F5B" w:rsidP="00BA1F5B">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BA1F5B" w:rsidRDefault="00BA1F5B" w:rsidP="00BA1F5B">
      <w:pPr>
        <w:ind w:firstLine="0"/>
        <w:rPr>
          <w:u w:val="single"/>
          <w:lang w:eastAsia="ru-RU"/>
        </w:rPr>
      </w:pPr>
      <w:r w:rsidRPr="00BA1F5B">
        <w:rPr>
          <w:u w:val="single"/>
          <w:lang w:eastAsia="ru-RU"/>
        </w:rPr>
        <w:t>Те</w:t>
      </w:r>
      <w:r>
        <w:rPr>
          <w:u w:val="single"/>
          <w:lang w:eastAsia="ru-RU"/>
        </w:rPr>
        <w:t>стовый</w:t>
      </w:r>
      <w:r w:rsidRPr="00BA1F5B">
        <w:rPr>
          <w:u w:val="single"/>
          <w:lang w:eastAsia="ru-RU"/>
        </w:rPr>
        <w:t xml:space="preserve"> проект – </w:t>
      </w:r>
      <w:r w:rsidR="00482675">
        <w:rPr>
          <w:u w:val="single"/>
          <w:lang w:eastAsia="ru-RU"/>
        </w:rPr>
        <w:t>6</w:t>
      </w:r>
      <w:r w:rsidRPr="00BA1F5B">
        <w:rPr>
          <w:u w:val="single"/>
          <w:lang w:eastAsia="ru-RU"/>
        </w:rPr>
        <w:t xml:space="preserve"> час</w:t>
      </w:r>
      <w:r w:rsidR="00482675">
        <w:rPr>
          <w:u w:val="single"/>
          <w:lang w:eastAsia="ru-RU"/>
        </w:rPr>
        <w:t>ов</w:t>
      </w:r>
    </w:p>
    <w:p w:rsidR="00BA1F5B" w:rsidRDefault="00BA1F5B" w:rsidP="00BA1F5B">
      <w:pPr>
        <w:ind w:firstLine="0"/>
        <w:rPr>
          <w:lang w:eastAsia="ru-RU"/>
        </w:rPr>
      </w:pPr>
      <w:r w:rsidRPr="00BA1F5B">
        <w:rPr>
          <w:lang w:eastAsia="ru-RU"/>
        </w:rPr>
        <w:lastRenderedPageBreak/>
        <w:tab/>
      </w:r>
      <w:r>
        <w:rPr>
          <w:lang w:eastAsia="ru-RU"/>
        </w:rPr>
        <w:t>Создание рабочего решения, позволяющего защищать приложения с помощью простого алгоритма</w:t>
      </w:r>
      <w:r w:rsidR="00482675">
        <w:rPr>
          <w:lang w:eastAsia="ru-RU"/>
        </w:rPr>
        <w:t>. Отсутствие проверок и восстановления после ошибок.</w:t>
      </w:r>
    </w:p>
    <w:p w:rsidR="00482675" w:rsidRDefault="00482675" w:rsidP="00BA1F5B">
      <w:pPr>
        <w:ind w:firstLine="0"/>
        <w:rPr>
          <w:u w:val="single"/>
          <w:lang w:eastAsia="ru-RU"/>
        </w:rPr>
      </w:pPr>
      <w:r w:rsidRPr="00482675">
        <w:rPr>
          <w:u w:val="single"/>
          <w:lang w:eastAsia="ru-RU"/>
        </w:rPr>
        <w:t xml:space="preserve">Технический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482675" w:rsidRDefault="00482675" w:rsidP="00BA1F5B">
      <w:pPr>
        <w:ind w:firstLine="0"/>
        <w:rPr>
          <w:u w:val="single"/>
          <w:lang w:eastAsia="ru-RU"/>
        </w:rPr>
      </w:pPr>
      <w:r w:rsidRPr="00482675">
        <w:rPr>
          <w:u w:val="single"/>
          <w:lang w:eastAsia="ru-RU"/>
        </w:rPr>
        <w:t xml:space="preserve">Рабочий проект – </w:t>
      </w:r>
      <w:r>
        <w:rPr>
          <w:u w:val="single"/>
          <w:lang w:eastAsia="ru-RU"/>
        </w:rPr>
        <w:t>4</w:t>
      </w:r>
      <w:r w:rsidRPr="00482675">
        <w:rPr>
          <w:u w:val="single"/>
          <w:lang w:eastAsia="ru-RU"/>
        </w:rPr>
        <w:t xml:space="preserve"> часа</w:t>
      </w:r>
    </w:p>
    <w:p w:rsidR="00482675" w:rsidRDefault="00482675" w:rsidP="00BA1F5B">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482675" w:rsidRDefault="00482675" w:rsidP="00BA1F5B">
      <w:pPr>
        <w:ind w:firstLine="0"/>
        <w:rPr>
          <w:u w:val="single"/>
          <w:lang w:eastAsia="ru-RU"/>
        </w:rPr>
      </w:pPr>
      <w:r w:rsidRPr="00482675">
        <w:rPr>
          <w:u w:val="single"/>
          <w:lang w:eastAsia="ru-RU"/>
        </w:rPr>
        <w:t xml:space="preserve">Тестирование – </w:t>
      </w:r>
      <w:r>
        <w:rPr>
          <w:u w:val="single"/>
          <w:lang w:eastAsia="ru-RU"/>
        </w:rPr>
        <w:t>5</w:t>
      </w:r>
      <w:r w:rsidRPr="00482675">
        <w:rPr>
          <w:u w:val="single"/>
          <w:lang w:eastAsia="ru-RU"/>
        </w:rPr>
        <w:t xml:space="preserve"> часов</w:t>
      </w:r>
    </w:p>
    <w:p w:rsidR="00482675" w:rsidRPr="00482675" w:rsidRDefault="00482675" w:rsidP="00BA1F5B">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0C7D44" w:rsidRDefault="00482675" w:rsidP="007B68F1">
      <w:pPr>
        <w:pStyle w:val="2"/>
        <w:numPr>
          <w:ilvl w:val="0"/>
          <w:numId w:val="30"/>
        </w:numPr>
        <w:rPr>
          <w:rFonts w:eastAsia="Times New Roman"/>
          <w:lang w:eastAsia="ru-RU"/>
        </w:rPr>
      </w:pPr>
      <w:bookmarkStart w:id="14" w:name="_Toc385161363"/>
      <w:bookmarkStart w:id="15" w:name="_Toc385178670"/>
      <w:r>
        <w:rPr>
          <w:rFonts w:eastAsia="Times New Roman"/>
          <w:lang w:eastAsia="ru-RU"/>
        </w:rPr>
        <w:t>Порядок контроля и приемки</w:t>
      </w:r>
      <w:bookmarkEnd w:id="14"/>
      <w:bookmarkEnd w:id="15"/>
    </w:p>
    <w:p w:rsidR="00482675" w:rsidRPr="00482675" w:rsidRDefault="00482675" w:rsidP="00482675">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Pr="000C7D44" w:rsidRDefault="000C7D44" w:rsidP="00482675">
      <w:pPr>
        <w:pStyle w:val="2"/>
        <w:sectPr w:rsidR="000C7D44" w:rsidRPr="000C7D44" w:rsidSect="00BF55BF">
          <w:pgSz w:w="11906" w:h="16838"/>
          <w:pgMar w:top="962" w:right="1134" w:bottom="1134" w:left="1134" w:header="567" w:footer="709" w:gutter="0"/>
          <w:cols w:space="708"/>
          <w:docGrid w:linePitch="381"/>
        </w:sectPr>
      </w:pPr>
    </w:p>
    <w:p w:rsidR="00055A58" w:rsidRDefault="004E203B" w:rsidP="005D5E6C">
      <w:pPr>
        <w:pStyle w:val="10"/>
        <w:numPr>
          <w:ilvl w:val="0"/>
          <w:numId w:val="18"/>
        </w:numPr>
      </w:pPr>
      <w:bookmarkStart w:id="16" w:name="_Toc385178671"/>
      <w:r>
        <w:lastRenderedPageBreak/>
        <w:t xml:space="preserve">Обзор </w:t>
      </w:r>
      <w:r w:rsidR="00112D79">
        <w:t>технологий защиты</w:t>
      </w:r>
      <w:bookmarkEnd w:id="16"/>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7B68F1">
      <w:pPr>
        <w:pStyle w:val="2"/>
        <w:numPr>
          <w:ilvl w:val="1"/>
          <w:numId w:val="32"/>
        </w:numPr>
      </w:pPr>
      <w:bookmarkStart w:id="17" w:name="_Toc385178672"/>
      <w:r>
        <w:t>Стеганография и водяные знаки</w:t>
      </w:r>
      <w:bookmarkEnd w:id="17"/>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EA3AC8">
              <w:rPr>
                <w:noProof/>
              </w:rPr>
              <w:t xml:space="preserve"> </w:t>
            </w:r>
            <w:r w:rsidR="00EA3AC8" w:rsidRPr="00EA3AC8">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EA3AC8">
              <w:rPr>
                <w:noProof/>
              </w:rPr>
              <w:t xml:space="preserve"> </w:t>
            </w:r>
            <w:r w:rsidR="00EA3AC8" w:rsidRPr="00EA3AC8">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EA3AC8">
              <w:rPr>
                <w:noProof/>
              </w:rPr>
              <w:t xml:space="preserve"> </w:t>
            </w:r>
            <w:r w:rsidR="00EA3AC8" w:rsidRPr="00EA3AC8">
              <w:rPr>
                <w:noProof/>
              </w:rPr>
              <w:t>[2]</w:t>
            </w:r>
          </w:fldSimple>
        </w:sdtContent>
      </w:sdt>
      <w:r>
        <w:t>:</w:t>
      </w:r>
    </w:p>
    <w:p w:rsidR="00A43D90" w:rsidRDefault="00A43D90" w:rsidP="00A43D90">
      <w:pPr>
        <w:pStyle w:val="ab"/>
        <w:numPr>
          <w:ilvl w:val="0"/>
          <w:numId w:val="15"/>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A43D90">
      <w:pPr>
        <w:pStyle w:val="ab"/>
        <w:numPr>
          <w:ilvl w:val="0"/>
          <w:numId w:val="15"/>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A43D90">
      <w:pPr>
        <w:pStyle w:val="ab"/>
        <w:numPr>
          <w:ilvl w:val="0"/>
          <w:numId w:val="15"/>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A43D90">
      <w:pPr>
        <w:pStyle w:val="ab"/>
        <w:numPr>
          <w:ilvl w:val="0"/>
          <w:numId w:val="16"/>
        </w:numPr>
      </w:pPr>
      <w:r>
        <w:t>Водяные знаки должны быть скрыты от обнаружения;</w:t>
      </w:r>
    </w:p>
    <w:p w:rsidR="00A43D90" w:rsidRDefault="00A43D90" w:rsidP="00A43D90">
      <w:pPr>
        <w:pStyle w:val="ab"/>
        <w:numPr>
          <w:ilvl w:val="0"/>
          <w:numId w:val="16"/>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A43D90">
      <w:pPr>
        <w:pStyle w:val="ab"/>
        <w:numPr>
          <w:ilvl w:val="0"/>
          <w:numId w:val="16"/>
        </w:numPr>
      </w:pPr>
      <w:r>
        <w:t>Чем больше используется различных способов внедрения водяных знаков и их количество, тем эффективнее защита;</w:t>
      </w:r>
    </w:p>
    <w:p w:rsidR="00A43D90" w:rsidRDefault="00A43D90" w:rsidP="00A43D90">
      <w:pPr>
        <w:pStyle w:val="ab"/>
        <w:numPr>
          <w:ilvl w:val="0"/>
          <w:numId w:val="16"/>
        </w:numPr>
      </w:pPr>
      <w:r>
        <w:t>Внедрение защиты не должно сказываться на производительности приложения;</w:t>
      </w:r>
    </w:p>
    <w:p w:rsidR="00A43D90" w:rsidRPr="002B41DE" w:rsidRDefault="00A43D90" w:rsidP="00A43D90">
      <w:pPr>
        <w:pStyle w:val="ab"/>
        <w:numPr>
          <w:ilvl w:val="0"/>
          <w:numId w:val="16"/>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7B68F1">
      <w:pPr>
        <w:pStyle w:val="2"/>
        <w:numPr>
          <w:ilvl w:val="1"/>
          <w:numId w:val="32"/>
        </w:numPr>
      </w:pPr>
      <w:bookmarkStart w:id="18" w:name="_Toc385178673"/>
      <w:proofErr w:type="spellStart"/>
      <w:r>
        <w:t>Обфускация</w:t>
      </w:r>
      <w:bookmarkEnd w:id="18"/>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840CF4">
            <w:rPr>
              <w:shd w:val="clear" w:color="auto" w:fill="FFFFFF"/>
            </w:rPr>
            <w:fldChar w:fldCharType="begin"/>
          </w:r>
          <w:r w:rsidR="00840CF4">
            <w:rPr>
              <w:shd w:val="clear" w:color="auto" w:fill="FFFFFF"/>
            </w:rPr>
            <w:instrText xml:space="preserve"> CITATION Чер03 \l 1049  </w:instrText>
          </w:r>
          <w:r w:rsidR="00840CF4">
            <w:rPr>
              <w:shd w:val="clear" w:color="auto" w:fill="FFFFFF"/>
            </w:rPr>
            <w:fldChar w:fldCharType="separate"/>
          </w:r>
          <w:r w:rsidR="00EA3AC8">
            <w:rPr>
              <w:noProof/>
              <w:shd w:val="clear" w:color="auto" w:fill="FFFFFF"/>
            </w:rPr>
            <w:t xml:space="preserve"> </w:t>
          </w:r>
          <w:r w:rsidR="00EA3AC8" w:rsidRPr="00EA3AC8">
            <w:rPr>
              <w:noProof/>
              <w:shd w:val="clear" w:color="auto" w:fill="FFFFFF"/>
            </w:rPr>
            <w:t>[3]</w:t>
          </w:r>
          <w:r w:rsidR="00840CF4">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CA0FCC">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CA0FCC">
            <w:fldChar w:fldCharType="separate"/>
          </w:r>
          <w:r w:rsidR="00EA3AC8" w:rsidRPr="00EA3AC8">
            <w:rPr>
              <w:noProof/>
            </w:rPr>
            <w:t>[4]</w:t>
          </w:r>
          <w:r w:rsidR="00CA0FCC">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7035ED">
      <w:pPr>
        <w:pStyle w:val="ab"/>
        <w:numPr>
          <w:ilvl w:val="0"/>
          <w:numId w:val="7"/>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7035ED">
      <w:pPr>
        <w:pStyle w:val="ab"/>
        <w:numPr>
          <w:ilvl w:val="0"/>
          <w:numId w:val="7"/>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7035ED">
      <w:pPr>
        <w:pStyle w:val="ab"/>
        <w:numPr>
          <w:ilvl w:val="0"/>
          <w:numId w:val="7"/>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EA3AC8">
              <w:rPr>
                <w:noProof/>
              </w:rPr>
              <w:t xml:space="preserve"> </w:t>
            </w:r>
            <w:r w:rsidR="00EA3AC8" w:rsidRPr="00EA3AC8">
              <w:rPr>
                <w:noProof/>
              </w:rPr>
              <w:t>[5]</w:t>
            </w:r>
          </w:fldSimple>
        </w:sdtContent>
      </w:sdt>
      <w:r>
        <w:t>:</w:t>
      </w:r>
    </w:p>
    <w:p w:rsidR="007035ED" w:rsidRDefault="007035ED" w:rsidP="007035ED">
      <w:pPr>
        <w:pStyle w:val="ab"/>
        <w:numPr>
          <w:ilvl w:val="0"/>
          <w:numId w:val="8"/>
        </w:numPr>
      </w:pPr>
      <w:r>
        <w:t>Преобразования агрегации. Вставка и переплетение функций, раскрутка циклов, клонирование кода;</w:t>
      </w:r>
    </w:p>
    <w:p w:rsidR="007035ED" w:rsidRDefault="007035ED" w:rsidP="007035ED">
      <w:pPr>
        <w:pStyle w:val="ab"/>
        <w:numPr>
          <w:ilvl w:val="0"/>
          <w:numId w:val="8"/>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7035ED">
      <w:pPr>
        <w:pStyle w:val="ab"/>
        <w:numPr>
          <w:ilvl w:val="0"/>
          <w:numId w:val="8"/>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fldChar w:fldCharType="separate"/>
          </w:r>
          <w:r w:rsidR="00EA3AC8" w:rsidRPr="00EA3AC8">
            <w:rPr>
              <w:noProof/>
            </w:rPr>
            <w:t>[3]</w:t>
          </w:r>
          <w:r>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7035ED">
      <w:pPr>
        <w:pStyle w:val="ab"/>
        <w:numPr>
          <w:ilvl w:val="0"/>
          <w:numId w:val="8"/>
        </w:numPr>
      </w:pPr>
      <w:r>
        <w:t>Табличная интерпретация</w:t>
      </w:r>
      <w:proofErr w:type="gramStart"/>
      <w:r>
        <w:t>.</w:t>
      </w:r>
      <w:proofErr w:type="gramEnd"/>
      <w:r>
        <w:t xml:space="preserve">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C65D61">
      <w:pPr>
        <w:pStyle w:val="ab"/>
        <w:numPr>
          <w:ilvl w:val="0"/>
          <w:numId w:val="7"/>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9E1C95">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9E1C95">
            <w:fldChar w:fldCharType="separate"/>
          </w:r>
          <w:r w:rsidR="00EA3AC8" w:rsidRPr="00EA3AC8">
            <w:rPr>
              <w:noProof/>
            </w:rPr>
            <w:t xml:space="preserve"> [6]</w:t>
          </w:r>
          <w:r w:rsidR="009E1C95">
            <w:fldChar w:fldCharType="end"/>
          </w:r>
        </w:sdtContent>
      </w:sdt>
      <w:r w:rsidR="00782A14">
        <w:t>:</w:t>
      </w:r>
    </w:p>
    <w:p w:rsidR="00782A14" w:rsidRDefault="00782A14" w:rsidP="00782A14">
      <w:pPr>
        <w:pStyle w:val="ab"/>
        <w:numPr>
          <w:ilvl w:val="0"/>
          <w:numId w:val="9"/>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782A14">
      <w:pPr>
        <w:pStyle w:val="ab"/>
        <w:numPr>
          <w:ilvl w:val="0"/>
          <w:numId w:val="9"/>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7B68F1">
      <w:pPr>
        <w:pStyle w:val="2"/>
        <w:numPr>
          <w:ilvl w:val="1"/>
          <w:numId w:val="32"/>
        </w:numPr>
      </w:pPr>
      <w:bookmarkStart w:id="19" w:name="_Toc385178674"/>
      <w:r>
        <w:lastRenderedPageBreak/>
        <w:t>Упаковка</w:t>
      </w:r>
      <w:bookmarkEnd w:id="19"/>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940ECE">
      <w:pPr>
        <w:pStyle w:val="ab"/>
        <w:numPr>
          <w:ilvl w:val="0"/>
          <w:numId w:val="13"/>
        </w:numPr>
      </w:pPr>
      <w:r>
        <w:t xml:space="preserve">Сборка остается рабочей только под операционной системой </w:t>
      </w:r>
      <w:r>
        <w:rPr>
          <w:lang w:val="en-US"/>
        </w:rPr>
        <w:t>Windows</w:t>
      </w:r>
      <w:r w:rsidRPr="00940ECE">
        <w:t>;</w:t>
      </w:r>
    </w:p>
    <w:p w:rsidR="00940ECE" w:rsidRDefault="007D19BE" w:rsidP="00940ECE">
      <w:pPr>
        <w:pStyle w:val="ab"/>
        <w:numPr>
          <w:ilvl w:val="0"/>
          <w:numId w:val="13"/>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940ECE">
      <w:pPr>
        <w:pStyle w:val="ab"/>
        <w:numPr>
          <w:ilvl w:val="0"/>
          <w:numId w:val="13"/>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B933BD">
      <w:pPr>
        <w:pStyle w:val="ab"/>
        <w:numPr>
          <w:ilvl w:val="0"/>
          <w:numId w:val="13"/>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C947AD">
      <w:pPr>
        <w:pStyle w:val="ab"/>
        <w:numPr>
          <w:ilvl w:val="0"/>
          <w:numId w:val="14"/>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C947AD">
      <w:pPr>
        <w:pStyle w:val="ab"/>
        <w:numPr>
          <w:ilvl w:val="0"/>
          <w:numId w:val="14"/>
        </w:numPr>
      </w:pPr>
      <w:r>
        <w:t xml:space="preserve">Обнаружение виртуальной машины. Запрещает выполнение приложения под виртуальной машиной </w:t>
      </w:r>
    </w:p>
    <w:p w:rsidR="00C736BA" w:rsidRDefault="00C736BA" w:rsidP="00C947AD">
      <w:pPr>
        <w:pStyle w:val="ab"/>
        <w:numPr>
          <w:ilvl w:val="0"/>
          <w:numId w:val="14"/>
        </w:numPr>
      </w:pPr>
      <w:r>
        <w:t>Защита памяти и проверка целостности данных. Отслеживание и выявление обращений к памяти и ее модификации.</w:t>
      </w:r>
    </w:p>
    <w:p w:rsidR="00C736BA" w:rsidRDefault="00C736BA" w:rsidP="00C947AD">
      <w:pPr>
        <w:pStyle w:val="ab"/>
        <w:numPr>
          <w:ilvl w:val="0"/>
          <w:numId w:val="14"/>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7B68F1">
      <w:pPr>
        <w:pStyle w:val="2"/>
        <w:numPr>
          <w:ilvl w:val="1"/>
          <w:numId w:val="32"/>
        </w:numPr>
      </w:pPr>
      <w:bookmarkStart w:id="20" w:name="_Toc385178675"/>
      <w:r>
        <w:lastRenderedPageBreak/>
        <w:t>Системы л</w:t>
      </w:r>
      <w:r w:rsidR="00A43D90">
        <w:t>ицензировани</w:t>
      </w:r>
      <w:r>
        <w:t>я</w:t>
      </w:r>
      <w:bookmarkEnd w:id="20"/>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EA3AC8">
              <w:rPr>
                <w:noProof/>
              </w:rPr>
              <w:t xml:space="preserve"> </w:t>
            </w:r>
            <w:r w:rsidR="00EA3AC8" w:rsidRPr="00EA3AC8">
              <w:rPr>
                <w:noProof/>
              </w:rPr>
              <w:t>[7]</w:t>
            </w:r>
          </w:fldSimple>
        </w:sdtContent>
      </w:sdt>
      <w:r>
        <w:t>:</w:t>
      </w:r>
    </w:p>
    <w:p w:rsidR="00B933BD" w:rsidRDefault="00B933BD" w:rsidP="00C32505">
      <w:pPr>
        <w:pStyle w:val="ab"/>
        <w:numPr>
          <w:ilvl w:val="0"/>
          <w:numId w:val="17"/>
        </w:numPr>
      </w:pPr>
      <w:r>
        <w:t>Сервер активации;</w:t>
      </w:r>
    </w:p>
    <w:p w:rsidR="00C32505" w:rsidRDefault="00C32505" w:rsidP="00C32505">
      <w:pPr>
        <w:pStyle w:val="ab"/>
        <w:numPr>
          <w:ilvl w:val="0"/>
          <w:numId w:val="17"/>
        </w:numPr>
      </w:pPr>
      <w:r>
        <w:t>Генератор ключей. Возможность генерировать ключи на сервере в автоматическом режиме</w:t>
      </w:r>
      <w:r w:rsidR="00B933BD">
        <w:t>;</w:t>
      </w:r>
    </w:p>
    <w:p w:rsidR="00C32505" w:rsidRDefault="00C32505" w:rsidP="00C32505">
      <w:pPr>
        <w:pStyle w:val="ab"/>
        <w:numPr>
          <w:ilvl w:val="0"/>
          <w:numId w:val="17"/>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C32505">
      <w:pPr>
        <w:pStyle w:val="ab"/>
        <w:numPr>
          <w:ilvl w:val="0"/>
          <w:numId w:val="17"/>
        </w:numPr>
      </w:pPr>
      <w:r>
        <w:t>Блокировка ключей. В приложение встраивается база скомпрометированных ключей активации</w:t>
      </w:r>
      <w:r w:rsidR="00B933BD">
        <w:t>;</w:t>
      </w:r>
    </w:p>
    <w:p w:rsidR="00EB54BE" w:rsidRDefault="00B933BD" w:rsidP="00EB54BE">
      <w:pPr>
        <w:pStyle w:val="ab"/>
        <w:numPr>
          <w:ilvl w:val="0"/>
          <w:numId w:val="17"/>
        </w:numPr>
      </w:pPr>
      <w:r>
        <w:t xml:space="preserve">Привязка к аппаратному обеспечению. </w:t>
      </w:r>
    </w:p>
    <w:p w:rsidR="00EB54BE" w:rsidRDefault="00EB54BE" w:rsidP="007B68F1">
      <w:pPr>
        <w:pStyle w:val="2"/>
        <w:numPr>
          <w:ilvl w:val="1"/>
          <w:numId w:val="32"/>
        </w:numPr>
        <w:rPr>
          <w:rStyle w:val="af0"/>
          <w:b/>
          <w:color w:val="000000"/>
          <w:sz w:val="27"/>
          <w:szCs w:val="27"/>
          <w:shd w:val="clear" w:color="auto" w:fill="FFFFFF"/>
        </w:rPr>
      </w:pPr>
      <w:bookmarkStart w:id="21" w:name="_Toc385178676"/>
      <w:r>
        <w:t>Защита от модификаций</w:t>
      </w:r>
      <w:bookmarkEnd w:id="21"/>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fldChar w:fldCharType="separate"/>
          </w:r>
          <w:r w:rsidR="00EA3AC8" w:rsidRPr="00EA3AC8">
            <w:rPr>
              <w:noProof/>
            </w:rPr>
            <w:t>[8]</w:t>
          </w:r>
          <w:r>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025627">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025627">
            <w:fldChar w:fldCharType="separate"/>
          </w:r>
          <w:r w:rsidR="00EA3AC8" w:rsidRPr="00EA3AC8">
            <w:rPr>
              <w:noProof/>
            </w:rPr>
            <w:t xml:space="preserve"> [9]</w:t>
          </w:r>
          <w:r w:rsidR="00025627">
            <w:fldChar w:fldCharType="end"/>
          </w:r>
        </w:sdtContent>
      </w:sdt>
      <w:r w:rsidR="00526633">
        <w:t>.</w:t>
      </w:r>
    </w:p>
    <w:p w:rsidR="00C32505" w:rsidRDefault="00B933BD" w:rsidP="007B68F1">
      <w:pPr>
        <w:pStyle w:val="2"/>
        <w:numPr>
          <w:ilvl w:val="1"/>
          <w:numId w:val="32"/>
        </w:numPr>
      </w:pPr>
      <w:bookmarkStart w:id="22" w:name="_Toc385178677"/>
      <w:r>
        <w:t>Сокрытие данных</w:t>
      </w:r>
      <w:bookmarkEnd w:id="22"/>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7B68F1">
      <w:pPr>
        <w:pStyle w:val="2"/>
        <w:numPr>
          <w:ilvl w:val="1"/>
          <w:numId w:val="32"/>
        </w:numPr>
      </w:pPr>
      <w:bookmarkStart w:id="23" w:name="_Toc385178678"/>
      <w:r>
        <w:lastRenderedPageBreak/>
        <w:t>Комплексный подход</w:t>
      </w:r>
      <w:bookmarkEnd w:id="23"/>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7B68F1">
      <w:pPr>
        <w:pStyle w:val="2"/>
        <w:numPr>
          <w:ilvl w:val="1"/>
          <w:numId w:val="32"/>
        </w:numPr>
      </w:pPr>
      <w:bookmarkStart w:id="24" w:name="_Toc385178679"/>
      <w:r>
        <w:t>Обзор имеющихся решений</w:t>
      </w:r>
      <w:bookmarkEnd w:id="24"/>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Pr>
                <w:noProof/>
              </w:rPr>
              <w:t xml:space="preserve"> </w:t>
            </w:r>
            <w:r w:rsidRPr="00EA3AC8">
              <w:rPr>
                <w:noProof/>
              </w:rPr>
              <w:t>[6]</w:t>
            </w:r>
          </w:fldSimple>
        </w:sdtContent>
      </w:sdt>
      <w:sdt>
        <w:sdtPr>
          <w:id w:val="638613223"/>
          <w:citation/>
        </w:sdtPr>
        <w:sdtContent>
          <w:fldSimple w:instr=" CITATION Ant10 \l 1049 ">
            <w:r>
              <w:rPr>
                <w:noProof/>
              </w:rPr>
              <w:t xml:space="preserve"> </w:t>
            </w:r>
            <w:r w:rsidRPr="00EA3AC8">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BF67C9">
      <w:pPr>
        <w:pStyle w:val="ab"/>
        <w:numPr>
          <w:ilvl w:val="0"/>
          <w:numId w:val="10"/>
        </w:numPr>
      </w:pPr>
      <w:r>
        <w:t>Неограниченная по функционалу версия для некоммерческих проектов;</w:t>
      </w:r>
    </w:p>
    <w:p w:rsidR="00BF67C9" w:rsidRPr="00A962EF" w:rsidRDefault="00BF67C9" w:rsidP="00BF67C9">
      <w:pPr>
        <w:pStyle w:val="ab"/>
        <w:numPr>
          <w:ilvl w:val="0"/>
          <w:numId w:val="10"/>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BF67C9">
      <w:pPr>
        <w:pStyle w:val="ab"/>
        <w:numPr>
          <w:ilvl w:val="0"/>
          <w:numId w:val="10"/>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BF67C9">
      <w:pPr>
        <w:pStyle w:val="ab"/>
        <w:numPr>
          <w:ilvl w:val="0"/>
          <w:numId w:val="10"/>
        </w:numPr>
      </w:pPr>
      <w:r>
        <w:t>Противодействие декомпиляции;</w:t>
      </w:r>
    </w:p>
    <w:p w:rsidR="00BF67C9" w:rsidRDefault="00BF67C9" w:rsidP="00BF67C9">
      <w:pPr>
        <w:pStyle w:val="ab"/>
        <w:numPr>
          <w:ilvl w:val="0"/>
          <w:numId w:val="10"/>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6E73AB">
      <w:pPr>
        <w:pStyle w:val="ab"/>
        <w:numPr>
          <w:ilvl w:val="0"/>
          <w:numId w:val="10"/>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fldSimple w:instr=" CITATION Тра14 \l 1049 ">
            <w:r w:rsidR="00EA3AC8">
              <w:rPr>
                <w:noProof/>
              </w:rPr>
              <w:t xml:space="preserve"> </w:t>
            </w:r>
            <w:r w:rsidR="00EA3AC8" w:rsidRPr="00EA3AC8">
              <w:rPr>
                <w:noProof/>
              </w:rPr>
              <w:t>[7]</w:t>
            </w:r>
          </w:fldSimple>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 Если данный метод реализован, напротив него ставится «+», если нет</w:t>
      </w:r>
      <w:proofErr w:type="gramStart"/>
      <w:r>
        <w:t xml:space="preserve"> – «–», </w:t>
      </w:r>
      <w:proofErr w:type="gramEnd"/>
      <w:r>
        <w:t>если информация не предоставлена – «?».</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942C6B">
        <w:tc>
          <w:tcPr>
            <w:tcW w:w="3369" w:type="dxa"/>
            <w:shd w:val="clear" w:color="auto" w:fill="D9D9D9" w:themeFill="background1" w:themeFillShade="D9"/>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D9D9D9" w:themeFill="background1" w:themeFillShade="D9"/>
            <w:vAlign w:val="center"/>
          </w:tcPr>
          <w:p w:rsidR="00113231" w:rsidRDefault="00113231" w:rsidP="009B0DCF">
            <w:pPr>
              <w:pStyle w:val="ac"/>
              <w:jc w:val="center"/>
            </w:pPr>
          </w:p>
        </w:tc>
        <w:tc>
          <w:tcPr>
            <w:tcW w:w="1560" w:type="dxa"/>
            <w:shd w:val="clear" w:color="auto" w:fill="D9D9D9" w:themeFill="background1" w:themeFillShade="D9"/>
            <w:vAlign w:val="center"/>
          </w:tcPr>
          <w:p w:rsidR="00113231" w:rsidRDefault="00113231" w:rsidP="009B0DCF">
            <w:pPr>
              <w:pStyle w:val="ac"/>
              <w:jc w:val="center"/>
            </w:pPr>
          </w:p>
        </w:tc>
        <w:tc>
          <w:tcPr>
            <w:tcW w:w="1701" w:type="dxa"/>
            <w:shd w:val="clear" w:color="auto" w:fill="D9D9D9" w:themeFill="background1" w:themeFillShade="D9"/>
            <w:vAlign w:val="center"/>
          </w:tcPr>
          <w:p w:rsidR="00113231" w:rsidRDefault="00113231" w:rsidP="009B0DCF">
            <w:pPr>
              <w:pStyle w:val="ac"/>
              <w:jc w:val="center"/>
            </w:pPr>
          </w:p>
        </w:tc>
        <w:tc>
          <w:tcPr>
            <w:tcW w:w="1275" w:type="dxa"/>
            <w:shd w:val="clear" w:color="auto" w:fill="D9D9D9" w:themeFill="background1" w:themeFillShade="D9"/>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942C6B" w:rsidP="009B0DCF">
            <w:pPr>
              <w:pStyle w:val="ac"/>
              <w:jc w:val="center"/>
              <w:rPr>
                <w:lang w:val="en-US"/>
              </w:rPr>
            </w:pPr>
            <w:hyperlink r:id="rId9" w:history="1">
              <w:r w:rsidRPr="00113231">
                <w:rPr>
                  <w:rStyle w:val="af2"/>
                  <w:lang w:val="en-US"/>
                </w:rPr>
                <w:t>http://www.9rays.net/TourStep.aspx?TourStepID=17</w:t>
              </w:r>
            </w:hyperlink>
            <w:r w:rsidRPr="00113231">
              <w:rPr>
                <w:lang w:val="en-US"/>
              </w:rPr>
              <w:t xml:space="preserve"> </w:t>
            </w:r>
          </w:p>
        </w:tc>
        <w:tc>
          <w:tcPr>
            <w:tcW w:w="1560" w:type="dxa"/>
            <w:vAlign w:val="center"/>
          </w:tcPr>
          <w:p w:rsidR="00942C6B" w:rsidRDefault="00942C6B" w:rsidP="009B0DCF">
            <w:pPr>
              <w:pStyle w:val="ac"/>
              <w:jc w:val="center"/>
            </w:pPr>
            <w:hyperlink r:id="rId10" w:history="1">
              <w:r w:rsidRPr="00D93807">
                <w:rPr>
                  <w:rStyle w:val="af2"/>
                </w:rPr>
                <w:t>http://www.eziriz.com/dotnet_reactor.htm</w:t>
              </w:r>
            </w:hyperlink>
            <w:r>
              <w:t xml:space="preserve"> </w:t>
            </w:r>
          </w:p>
        </w:tc>
        <w:tc>
          <w:tcPr>
            <w:tcW w:w="1701" w:type="dxa"/>
            <w:vAlign w:val="center"/>
          </w:tcPr>
          <w:p w:rsidR="00942C6B" w:rsidRDefault="00942C6B" w:rsidP="009B0DCF">
            <w:pPr>
              <w:pStyle w:val="ac"/>
              <w:jc w:val="center"/>
            </w:pPr>
            <w:hyperlink r:id="rId11" w:history="1">
              <w:r w:rsidRPr="00D93807">
                <w:rPr>
                  <w:rStyle w:val="af2"/>
                </w:rPr>
                <w:t>http://enigmaprotector.com/ru/about.html</w:t>
              </w:r>
            </w:hyperlink>
            <w:r>
              <w:t xml:space="preserve"> </w:t>
            </w:r>
          </w:p>
        </w:tc>
        <w:tc>
          <w:tcPr>
            <w:tcW w:w="1275" w:type="dxa"/>
            <w:vAlign w:val="center"/>
          </w:tcPr>
          <w:p w:rsidR="00942C6B" w:rsidRDefault="00942C6B" w:rsidP="009B0DCF">
            <w:pPr>
              <w:pStyle w:val="ac"/>
              <w:jc w:val="center"/>
            </w:pPr>
          </w:p>
        </w:tc>
      </w:tr>
    </w:tbl>
    <w:p w:rsidR="00E96797" w:rsidRDefault="00E96797" w:rsidP="00E96797">
      <w:pPr>
        <w:spacing w:before="240"/>
      </w:pPr>
      <w:r>
        <w:t xml:space="preserve">Исходя из проведенного обзора, можно сделать некоторые выводы и рекомендации. </w:t>
      </w:r>
      <w:proofErr w:type="spellStart"/>
      <w:r w:rsidRPr="00ED0AA8">
        <w:t>Enigma</w:t>
      </w:r>
      <w:proofErr w:type="spellEnd"/>
      <w:r w:rsidRPr="00ED0AA8">
        <w:t xml:space="preserve"> </w:t>
      </w:r>
      <w:proofErr w:type="spellStart"/>
      <w:r w:rsidRPr="00ED0AA8">
        <w:t>Protector</w:t>
      </w:r>
      <w:proofErr w:type="spellEnd"/>
      <w:r>
        <w:t xml:space="preserve"> предоставляет множество различных методов защиты, но можно предположить, что </w:t>
      </w:r>
      <w:proofErr w:type="gramStart"/>
      <w:r>
        <w:t>из-за</w:t>
      </w:r>
      <w:proofErr w:type="gramEnd"/>
      <w:r>
        <w:t xml:space="preserve"> достаточно простой </w:t>
      </w:r>
      <w:proofErr w:type="spellStart"/>
      <w:r>
        <w:t>обфускации</w:t>
      </w:r>
      <w:proofErr w:type="spellEnd"/>
      <w:r>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w:t>
      </w:r>
      <w:r w:rsidR="008F6016">
        <w:lastRenderedPageBreak/>
        <w:t xml:space="preserve">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BE262F" w:rsidP="00BE262F">
      <w:pPr>
        <w:pStyle w:val="10"/>
        <w:numPr>
          <w:ilvl w:val="0"/>
          <w:numId w:val="32"/>
        </w:numPr>
        <w:rPr>
          <w:shd w:val="clear" w:color="auto" w:fill="FFFFFF"/>
          <w:lang w:val="en-US"/>
        </w:rPr>
      </w:pPr>
      <w:bookmarkStart w:id="25" w:name="_Toc385178680"/>
      <w:r w:rsidRPr="00BE262F">
        <w:rPr>
          <w:shd w:val="clear" w:color="auto" w:fill="FFFFFF"/>
        </w:rPr>
        <w:lastRenderedPageBreak/>
        <w:t>Теоретическая</w:t>
      </w:r>
      <w:r>
        <w:rPr>
          <w:shd w:val="clear" w:color="auto" w:fill="FFFFFF"/>
        </w:rPr>
        <w:t xml:space="preserve"> разработка</w:t>
      </w:r>
      <w:bookmarkEnd w:id="25"/>
    </w:p>
    <w:p w:rsidR="00BE262F" w:rsidRDefault="00BE262F" w:rsidP="00BE262F">
      <w:pPr>
        <w:rPr>
          <w:lang w:val="en-US"/>
        </w:rPr>
      </w:pPr>
    </w:p>
    <w:p w:rsidR="00BE262F" w:rsidRDefault="00BE262F" w:rsidP="00BE262F">
      <w:pPr>
        <w:rPr>
          <w:lang w:val="en-US"/>
        </w:rPr>
        <w:sectPr w:rsidR="00BE262F"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26" w:name="_Toc385178681"/>
      <w:r>
        <w:rPr>
          <w:shd w:val="clear" w:color="auto" w:fill="FFFFFF"/>
        </w:rPr>
        <w:lastRenderedPageBreak/>
        <w:t>Реализация</w:t>
      </w:r>
      <w:bookmarkEnd w:id="26"/>
    </w:p>
    <w:p w:rsidR="00BE262F" w:rsidRDefault="00BE262F" w:rsidP="00BE262F">
      <w:pPr>
        <w:rPr>
          <w:lang w:val="en-US"/>
        </w:rPr>
      </w:pPr>
    </w:p>
    <w:p w:rsidR="00BE262F" w:rsidRDefault="00BE262F" w:rsidP="00BE262F">
      <w:pPr>
        <w:rPr>
          <w:lang w:val="en-US"/>
        </w:rPr>
        <w:sectPr w:rsidR="00BE262F" w:rsidSect="00BF55BF">
          <w:pgSz w:w="11906" w:h="16838"/>
          <w:pgMar w:top="962" w:right="1134" w:bottom="1134" w:left="1134" w:header="567" w:footer="709" w:gutter="0"/>
          <w:cols w:space="708"/>
          <w:docGrid w:linePitch="381"/>
        </w:sectPr>
      </w:pPr>
    </w:p>
    <w:p w:rsidR="00BE262F" w:rsidRDefault="00BE262F" w:rsidP="00BE262F">
      <w:pPr>
        <w:pStyle w:val="10"/>
        <w:numPr>
          <w:ilvl w:val="0"/>
          <w:numId w:val="32"/>
        </w:numPr>
        <w:rPr>
          <w:shd w:val="clear" w:color="auto" w:fill="FFFFFF"/>
          <w:lang w:val="en-US"/>
        </w:rPr>
      </w:pPr>
      <w:bookmarkStart w:id="27" w:name="_Toc385178682"/>
      <w:r>
        <w:rPr>
          <w:shd w:val="clear" w:color="auto" w:fill="FFFFFF"/>
        </w:rPr>
        <w:lastRenderedPageBreak/>
        <w:t>Тестирование</w:t>
      </w:r>
      <w:bookmarkEnd w:id="27"/>
    </w:p>
    <w:p w:rsidR="00BE262F" w:rsidRDefault="00BE262F" w:rsidP="00BE262F">
      <w:pPr>
        <w:rPr>
          <w:rFonts w:ascii="Tahoma" w:hAnsi="Tahoma" w:cs="Tahoma"/>
          <w:color w:val="000000"/>
          <w:sz w:val="18"/>
          <w:shd w:val="clear" w:color="auto" w:fill="FFFFFF"/>
          <w:lang w:val="en-US"/>
        </w:rPr>
      </w:pPr>
    </w:p>
    <w:p w:rsidR="00BE262F" w:rsidRPr="00BE262F" w:rsidRDefault="00BE262F" w:rsidP="00BE262F">
      <w:pPr>
        <w:rPr>
          <w:lang w:val="en-US"/>
        </w:rPr>
        <w:sectPr w:rsidR="00BE262F" w:rsidRPr="00BE262F" w:rsidSect="00BF55BF">
          <w:pgSz w:w="11906" w:h="16838"/>
          <w:pgMar w:top="962" w:right="1134" w:bottom="1134" w:left="1134" w:header="567" w:footer="709" w:gutter="0"/>
          <w:cols w:space="708"/>
          <w:docGrid w:linePitch="381"/>
        </w:sectPr>
      </w:pPr>
    </w:p>
    <w:sdt>
      <w:sdtPr>
        <w:id w:val="638612966"/>
        <w:docPartObj>
          <w:docPartGallery w:val="Bibliographies"/>
          <w:docPartUnique/>
        </w:docPartObj>
      </w:sdtPr>
      <w:sdtEndPr>
        <w:rPr>
          <w:rFonts w:eastAsiaTheme="minorHAnsi" w:cs="Mangal"/>
          <w:b w:val="0"/>
          <w:bCs w:val="0"/>
          <w:color w:val="auto"/>
          <w:sz w:val="28"/>
          <w:szCs w:val="18"/>
        </w:rPr>
      </w:sdtEndPr>
      <w:sdtContent>
        <w:bookmarkStart w:id="28" w:name="_Toc385178683" w:displacedByCustomXml="prev"/>
        <w:p w:rsidR="00637620" w:rsidRPr="00637620" w:rsidRDefault="00637620" w:rsidP="005D5E6C">
          <w:pPr>
            <w:pStyle w:val="10"/>
            <w:rPr>
              <w:lang w:val="en-US"/>
            </w:rPr>
          </w:pPr>
          <w:r>
            <w:t>Список</w:t>
          </w:r>
          <w:r w:rsidRPr="00637620">
            <w:rPr>
              <w:lang w:val="en-US"/>
            </w:rPr>
            <w:t xml:space="preserve"> </w:t>
          </w:r>
          <w:r>
            <w:t>литературы</w:t>
          </w:r>
          <w:bookmarkEnd w:id="28"/>
        </w:p>
        <w:sdt>
          <w:sdtPr>
            <w:id w:val="111145805"/>
            <w:bibliography/>
          </w:sdtPr>
          <w:sdtContent>
            <w:p w:rsidR="00EA3AC8" w:rsidRDefault="00637620" w:rsidP="00CA0FCC">
              <w:pPr>
                <w:rPr>
                  <w:rFonts w:asciiTheme="minorHAnsi" w:hAnsiTheme="minorHAnsi"/>
                  <w:noProof/>
                  <w:color w:val="333399"/>
                  <w:sz w:val="18"/>
                </w:rPr>
              </w:pPr>
              <w:r>
                <w:fldChar w:fldCharType="begin"/>
              </w:r>
              <w:r w:rsidRPr="00637620">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97"/>
                <w:gridCol w:w="9231"/>
              </w:tblGrid>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[1] </w:t>
                    </w:r>
                  </w:p>
                </w:tc>
                <w:tc>
                  <w:tcPr>
                    <w:tcW w:w="0" w:type="auto"/>
                    <w:hideMark/>
                  </w:tcPr>
                  <w:p w:rsidR="00EA3AC8" w:rsidRDefault="00EA3AC8">
                    <w:pPr>
                      <w:pStyle w:val="aa"/>
                      <w:rPr>
                        <w:rFonts w:eastAsiaTheme="minorEastAsia"/>
                        <w:noProof/>
                      </w:rPr>
                    </w:pPr>
                    <w:r w:rsidRPr="00EA3AC8">
                      <w:rPr>
                        <w:noProof/>
                        <w:lang w:val="en-US"/>
                      </w:rPr>
                      <w:t xml:space="preserve">F. Z. William, «Concepts and Techniques in Software Watermarking and Obfuscation,» The Department of Computer Sciences, The University of Auckland, 08 2007. </w:t>
                    </w:r>
                    <w:r>
                      <w:rPr>
                        <w:noProof/>
                      </w:rPr>
                      <w:t>[В Интернете]. Available: http://citeseerx.ist.psu.edu/viewdoc/download?doi=10.1.1.103.8892&amp;rep=rep1&amp;type=pdf.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[2] </w:t>
                    </w:r>
                  </w:p>
                </w:tc>
                <w:tc>
                  <w:tcPr>
                    <w:tcW w:w="0" w:type="auto"/>
                    <w:hideMark/>
                  </w:tcPr>
                  <w:p w:rsidR="00EA3AC8" w:rsidRDefault="00EA3AC8">
                    <w:pPr>
                      <w:pStyle w:val="aa"/>
                      <w:rPr>
                        <w:rFonts w:eastAsiaTheme="minorEastAsia"/>
                        <w:noProof/>
                      </w:rPr>
                    </w:pPr>
                    <w:r w:rsidRPr="00EA3AC8">
                      <w:rPr>
                        <w:noProof/>
                        <w:lang w:val="en-US"/>
                      </w:rPr>
                      <w:t xml:space="preserve">C. Collberg </w:t>
                    </w:r>
                    <w:r>
                      <w:rPr>
                        <w:noProof/>
                      </w:rPr>
                      <w:t>и</w:t>
                    </w:r>
                    <w:r w:rsidRPr="00EA3AC8">
                      <w:rPr>
                        <w:noProof/>
                        <w:lang w:val="en-US"/>
                      </w:rPr>
                      <w:t xml:space="preserve"> C. Thomborson, «Software Watermarking: Models and Dynamic Embeddings,» Department of Computer Science, The University of Auckland, 1999. </w:t>
                    </w:r>
                    <w:r>
                      <w:rPr>
                        <w:noProof/>
                      </w:rPr>
                      <w:t>[В Интернете]. Available: http://citeseerx.ist.psu.edu/viewdoc/download?doi=10.1.1.33.8088&amp;rep=rep1&amp;type=pdf.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[3] </w:t>
                    </w:r>
                  </w:p>
                </w:tc>
                <w:tc>
                  <w:tcPr>
                    <w:tcW w:w="0" w:type="auto"/>
                    <w:hideMark/>
                  </w:tcPr>
                  <w:p w:rsidR="00EA3AC8" w:rsidRDefault="00EA3AC8">
                    <w:pPr>
                      <w:pStyle w:val="aa"/>
                      <w:rPr>
                        <w:rFonts w:eastAsiaTheme="minorEastAsia"/>
                        <w:noProof/>
                      </w:rPr>
                    </w:pPr>
                    <w:r>
                      <w:rPr>
                        <w:noProof/>
                      </w:rPr>
                      <w:t>А. В. Чернов, «Анализ запутывающих преобразований программ,» Института Системного программирования РАН, 2003. [В Интернете]. Available: http://citforum.ru/security/articles/analysis/.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[4] </w:t>
                    </w:r>
                  </w:p>
                </w:tc>
                <w:tc>
                  <w:tcPr>
                    <w:tcW w:w="0" w:type="auto"/>
                    <w:hideMark/>
                  </w:tcPr>
                  <w:p w:rsidR="00EA3AC8" w:rsidRDefault="00EA3AC8">
                    <w:pPr>
                      <w:pStyle w:val="aa"/>
                      <w:rPr>
                        <w:rFonts w:eastAsiaTheme="minorEastAsia"/>
                        <w:noProof/>
                      </w:rPr>
                    </w:pPr>
                    <w:r>
                      <w:rPr>
                        <w:noProof/>
                      </w:rPr>
                      <w:t>С</w:t>
                    </w:r>
                    <w:r w:rsidRPr="00EA3AC8">
                      <w:rPr>
                        <w:noProof/>
                        <w:lang w:val="en-US"/>
                      </w:rPr>
                      <w:t xml:space="preserve">. Collberg, </w:t>
                    </w:r>
                    <w:r>
                      <w:rPr>
                        <w:noProof/>
                      </w:rPr>
                      <w:t>С</w:t>
                    </w:r>
                    <w:r w:rsidRPr="00EA3AC8">
                      <w:rPr>
                        <w:noProof/>
                        <w:lang w:val="en-US"/>
                      </w:rPr>
                      <w:t xml:space="preserve">. Thomborson </w:t>
                    </w:r>
                    <w:r>
                      <w:rPr>
                        <w:noProof/>
                      </w:rPr>
                      <w:t>и</w:t>
                    </w:r>
                    <w:r w:rsidRPr="00EA3AC8">
                      <w:rPr>
                        <w:noProof/>
                        <w:lang w:val="en-US"/>
                      </w:rPr>
                      <w:t xml:space="preserve"> D. Low, «A Taxonomy of Obfuscating Transformations,» Department of Computer Science, The University of Auckland, 1997. </w:t>
                    </w:r>
                    <w:r>
                      <w:rPr>
                        <w:noProof/>
                      </w:rPr>
                      <w:t>[В Интернете]. Available: http://www.labri.fr/perso/fleury/courses/SS/download/papers/obfuscation-survey-collberg.pdf.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[5] </w:t>
                    </w:r>
                  </w:p>
                </w:tc>
                <w:tc>
                  <w:tcPr>
                    <w:tcW w:w="0" w:type="auto"/>
                    <w:hideMark/>
                  </w:tcPr>
                  <w:p w:rsidR="00EA3AC8" w:rsidRDefault="00EA3AC8">
                    <w:pPr>
                      <w:pStyle w:val="aa"/>
                      <w:rPr>
                        <w:rFonts w:eastAsiaTheme="minorEastAsia"/>
                        <w:noProof/>
                      </w:rPr>
                    </w:pPr>
                    <w:r>
                      <w:rPr>
                        <w:noProof/>
                      </w:rPr>
                      <w:t>И. Ледовских, «Метрики сложности кода,» 27 01 2012. [В Интернете]. Available: http://www.ispras.ru/ru/preprints/docs/prep_25_2013.pdf.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[6] </w:t>
                    </w:r>
                  </w:p>
                </w:tc>
                <w:tc>
                  <w:tcPr>
                    <w:tcW w:w="0" w:type="auto"/>
                    <w:hideMark/>
                  </w:tcPr>
                  <w:p w:rsidR="00EA3AC8" w:rsidRDefault="00EA3AC8">
                    <w:pPr>
                      <w:pStyle w:val="aa"/>
                      <w:rPr>
                        <w:rFonts w:eastAsiaTheme="minorEastAsia"/>
                        <w:noProof/>
                      </w:rPr>
                    </w:pPr>
                    <w:r>
                      <w:rPr>
                        <w:noProof/>
                      </w:rPr>
                      <w:t>eRaider, «Защита .NET приложений — всё же, во что заворачивать селёдку?,» 16 10 2010. [В Интернете]. Available: http://habrahabr.ru/post/106262/.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w:t>
                    </w:r>
                    <w:r>
                      <w:rPr>
                        <w:noProof/>
                      </w:rPr>
                      <w:lastRenderedPageBreak/>
                      <w:t xml:space="preserve">7] </w:t>
                    </w:r>
                  </w:p>
                </w:tc>
                <w:tc>
                  <w:tcPr>
                    <w:tcW w:w="0" w:type="auto"/>
                    <w:hideMark/>
                  </w:tcPr>
                  <w:p w:rsidR="00EA3AC8" w:rsidRDefault="00EA3AC8">
                    <w:pPr>
                      <w:pStyle w:val="aa"/>
                      <w:rPr>
                        <w:rFonts w:eastAsiaTheme="minorEastAsia"/>
                        <w:noProof/>
                      </w:rPr>
                    </w:pPr>
                    <w:r>
                      <w:rPr>
                        <w:noProof/>
                      </w:rPr>
                      <w:lastRenderedPageBreak/>
                      <w:t xml:space="preserve">А. Трамвон, «Обзор систем защиты ПО для Windows от нелегального </w:t>
                    </w:r>
                    <w:r>
                      <w:rPr>
                        <w:noProof/>
                      </w:rPr>
                      <w:lastRenderedPageBreak/>
                      <w:t>использования,» 15 03 2014. [В Интернете]. Available: http://habrahabr.ru/post/215553/. [Дата обращения: 11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lastRenderedPageBreak/>
                      <w:t xml:space="preserve">[8] </w:t>
                    </w:r>
                  </w:p>
                </w:tc>
                <w:tc>
                  <w:tcPr>
                    <w:tcW w:w="0" w:type="auto"/>
                    <w:hideMark/>
                  </w:tcPr>
                  <w:p w:rsidR="00EA3AC8" w:rsidRDefault="00EA3AC8">
                    <w:pPr>
                      <w:pStyle w:val="aa"/>
                      <w:rPr>
                        <w:rFonts w:eastAsiaTheme="minorEastAsia"/>
                        <w:noProof/>
                      </w:rPr>
                    </w:pPr>
                    <w:r w:rsidRPr="00EA3AC8">
                      <w:rPr>
                        <w:noProof/>
                        <w:lang w:val="en-US"/>
                      </w:rPr>
                      <w:t xml:space="preserve">P. Wang, «Tamper Resistance for Software,» Information and Communications University, 2005. </w:t>
                    </w:r>
                    <w:r>
                      <w:rPr>
                        <w:noProof/>
                      </w:rPr>
                      <w:t>[В Интернете]. Available: http://citeseerx.ist.psu.edu/viewdoc/download?doi=10.1.1.105.8556&amp;rep=rep1&amp;type=pdf.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[9] </w:t>
                    </w:r>
                  </w:p>
                </w:tc>
                <w:tc>
                  <w:tcPr>
                    <w:tcW w:w="0" w:type="auto"/>
                    <w:hideMark/>
                  </w:tcPr>
                  <w:p w:rsidR="00EA3AC8" w:rsidRDefault="00EA3AC8">
                    <w:pPr>
                      <w:pStyle w:val="aa"/>
                      <w:rPr>
                        <w:rFonts w:eastAsiaTheme="minorEastAsia"/>
                        <w:noProof/>
                      </w:rPr>
                    </w:pPr>
                    <w:r w:rsidRPr="00EA3AC8">
                      <w:rPr>
                        <w:noProof/>
                        <w:lang w:val="en-US"/>
                      </w:rPr>
                      <w:t xml:space="preserve">G. Wurster, «A generic attack on hashing-based software tamper resistance,» Ottawa-Carleton Institute for Computer Science, 04 2005. </w:t>
                    </w:r>
                    <w:r>
                      <w:rPr>
                        <w:noProof/>
                      </w:rPr>
                      <w:t>[В Интернете]. Available: http://people.scs.carleton.ca/~gwurster/publications/Thesis-2005.pdf. [Дата обращения: 12 04 2014].</w:t>
                    </w:r>
                  </w:p>
                </w:tc>
              </w:tr>
              <w:tr w:rsidR="00EA3AC8">
                <w:trPr>
                  <w:divId w:val="1345134155"/>
                  <w:tblCellSpacing w:w="15" w:type="dxa"/>
                </w:trPr>
                <w:tc>
                  <w:tcPr>
                    <w:tcW w:w="50" w:type="pct"/>
                    <w:hideMark/>
                  </w:tcPr>
                  <w:p w:rsidR="00EA3AC8" w:rsidRDefault="00EA3AC8">
                    <w:pPr>
                      <w:pStyle w:val="aa"/>
                      <w:rPr>
                        <w:rFonts w:eastAsiaTheme="minorEastAsia"/>
                        <w:noProof/>
                      </w:rPr>
                    </w:pPr>
                    <w:r>
                      <w:rPr>
                        <w:noProof/>
                      </w:rPr>
                      <w:t xml:space="preserve">[10] </w:t>
                    </w:r>
                  </w:p>
                </w:tc>
                <w:tc>
                  <w:tcPr>
                    <w:tcW w:w="0" w:type="auto"/>
                    <w:hideMark/>
                  </w:tcPr>
                  <w:p w:rsidR="00EA3AC8" w:rsidRDefault="00EA3AC8">
                    <w:pPr>
                      <w:pStyle w:val="aa"/>
                      <w:rPr>
                        <w:rFonts w:eastAsiaTheme="minorEastAsia"/>
                        <w:noProof/>
                      </w:rPr>
                    </w:pPr>
                    <w:r>
                      <w:rPr>
                        <w:noProof/>
                      </w:rPr>
                      <w:t>Antelle, «Обзор обфускаторов для .NET,» 22 06 2010. [В Интернете]. Available: http://habrahabr.ru/post/97062/. [Дата обращения: 11 04 2014].</w:t>
                    </w:r>
                  </w:p>
                </w:tc>
              </w:tr>
            </w:tbl>
            <w:p w:rsidR="00EA3AC8" w:rsidRDefault="00EA3AC8">
              <w:pPr>
                <w:divId w:val="1345134155"/>
                <w:rPr>
                  <w:rFonts w:eastAsia="Times New Roman"/>
                  <w:noProof/>
                </w:rPr>
              </w:pPr>
            </w:p>
            <w:p w:rsidR="00637620" w:rsidRDefault="00637620" w:rsidP="00CA0FCC">
              <w:r>
                <w:fldChar w:fldCharType="end"/>
              </w:r>
            </w:p>
          </w:sdtContent>
        </w:sdt>
      </w:sdtContent>
    </w:sdt>
    <w:p w:rsidR="00637620" w:rsidRPr="00637620" w:rsidRDefault="00637620" w:rsidP="00637620"/>
    <w:sectPr w:rsidR="00637620" w:rsidRPr="00637620" w:rsidSect="00BF55BF">
      <w:pgSz w:w="11906" w:h="16838"/>
      <w:pgMar w:top="962" w:right="113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1CF" w:rsidRDefault="00C251CF" w:rsidP="00ED145B">
      <w:pPr>
        <w:spacing w:line="240" w:lineRule="auto"/>
      </w:pPr>
      <w:r>
        <w:separator/>
      </w:r>
    </w:p>
  </w:endnote>
  <w:endnote w:type="continuationSeparator" w:id="0">
    <w:p w:rsidR="00C251CF" w:rsidRDefault="00C251CF"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1CF" w:rsidRDefault="00C251CF" w:rsidP="00ED145B">
      <w:pPr>
        <w:spacing w:line="240" w:lineRule="auto"/>
      </w:pPr>
      <w:r>
        <w:separator/>
      </w:r>
    </w:p>
  </w:footnote>
  <w:footnote w:type="continuationSeparator" w:id="0">
    <w:p w:rsidR="00C251CF" w:rsidRDefault="00C251CF"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2F2603" w:rsidRDefault="002F2603">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1B0637">
          <w:rPr>
            <w:noProof/>
            <w:sz w:val="24"/>
            <w:szCs w:val="24"/>
          </w:rPr>
          <w:t>2</w:t>
        </w:r>
        <w:r w:rsidRPr="00BF55BF">
          <w:rPr>
            <w:sz w:val="24"/>
            <w:szCs w:val="24"/>
          </w:rPr>
          <w:fldChar w:fldCharType="end"/>
        </w:r>
      </w:p>
    </w:sdtContent>
  </w:sdt>
  <w:p w:rsidR="002F2603" w:rsidRDefault="002F260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nsid w:val="0700430A"/>
    <w:multiLevelType w:val="hybridMultilevel"/>
    <w:tmpl w:val="DE1EBBC0"/>
    <w:lvl w:ilvl="0" w:tplc="2376C16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E510D6"/>
    <w:multiLevelType w:val="hybridMultilevel"/>
    <w:tmpl w:val="2ECA4BFC"/>
    <w:lvl w:ilvl="0" w:tplc="8698042E">
      <w:start w:val="1"/>
      <w:numFmt w:val="decimal"/>
      <w:lvlText w:val="2.%1."/>
      <w:lvlJc w:val="center"/>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F0759A"/>
    <w:multiLevelType w:val="multilevel"/>
    <w:tmpl w:val="1D16398C"/>
    <w:numStyleLink w:val="1"/>
  </w:abstractNum>
  <w:abstractNum w:abstractNumId="4">
    <w:nsid w:val="124356F7"/>
    <w:multiLevelType w:val="multilevel"/>
    <w:tmpl w:val="1D16398C"/>
    <w:numStyleLink w:val="1"/>
  </w:abstractNum>
  <w:abstractNum w:abstractNumId="5">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D828E7"/>
    <w:multiLevelType w:val="hybridMultilevel"/>
    <w:tmpl w:val="7ACA1FC8"/>
    <w:lvl w:ilvl="0" w:tplc="7DCCA10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AC22F30"/>
    <w:multiLevelType w:val="hybridMultilevel"/>
    <w:tmpl w:val="1D1639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B9B2EF9"/>
    <w:multiLevelType w:val="hybridMultilevel"/>
    <w:tmpl w:val="09E61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nsid w:val="26F9634F"/>
    <w:multiLevelType w:val="multilevel"/>
    <w:tmpl w:val="1D16398C"/>
    <w:numStyleLink w:val="1"/>
  </w:abstractNum>
  <w:abstractNum w:abstractNumId="11">
    <w:nsid w:val="2CC06B4D"/>
    <w:multiLevelType w:val="multilevel"/>
    <w:tmpl w:val="0924180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427040D"/>
    <w:multiLevelType w:val="multilevel"/>
    <w:tmpl w:val="069A833C"/>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EBE41EB"/>
    <w:multiLevelType w:val="hybridMultilevel"/>
    <w:tmpl w:val="BA4686C6"/>
    <w:lvl w:ilvl="0" w:tplc="89B463D4">
      <w:start w:val="1"/>
      <w:numFmt w:val="decimal"/>
      <w:lvlText w:val="2.%1."/>
      <w:lvlJc w:val="left"/>
      <w:pPr>
        <w:ind w:left="720" w:hanging="360"/>
      </w:pPr>
      <w:rPr>
        <w:rFonts w:ascii="Times New Roman" w:hAnsi="Times New Roman" w:cs="Times New Roman"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1E4185"/>
    <w:multiLevelType w:val="multilevel"/>
    <w:tmpl w:val="1D16398C"/>
    <w:numStyleLink w:val="1"/>
  </w:abstractNum>
  <w:abstractNum w:abstractNumId="15">
    <w:nsid w:val="45ED65B3"/>
    <w:multiLevelType w:val="hybridMultilevel"/>
    <w:tmpl w:val="2108A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72064FF"/>
    <w:multiLevelType w:val="multilevel"/>
    <w:tmpl w:val="1D16398C"/>
    <w:numStyleLink w:val="1"/>
  </w:abstractNum>
  <w:abstractNum w:abstractNumId="17">
    <w:nsid w:val="4B4842C9"/>
    <w:multiLevelType w:val="multilevel"/>
    <w:tmpl w:val="1D16398C"/>
    <w:numStyleLink w:val="1"/>
  </w:abstractNum>
  <w:abstractNum w:abstractNumId="18">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33C614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D4F68BD"/>
    <w:multiLevelType w:val="multilevel"/>
    <w:tmpl w:val="D46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470234"/>
    <w:multiLevelType w:val="hybridMultilevel"/>
    <w:tmpl w:val="D3F4C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nsid w:val="6EC37B0C"/>
    <w:multiLevelType w:val="multilevel"/>
    <w:tmpl w:val="7C24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6">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8">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7"/>
  </w:num>
  <w:num w:numId="2">
    <w:abstractNumId w:val="27"/>
  </w:num>
  <w:num w:numId="3">
    <w:abstractNumId w:val="4"/>
  </w:num>
  <w:num w:numId="4">
    <w:abstractNumId w:val="19"/>
  </w:num>
  <w:num w:numId="5">
    <w:abstractNumId w:val="14"/>
  </w:num>
  <w:num w:numId="6">
    <w:abstractNumId w:val="16"/>
  </w:num>
  <w:num w:numId="7">
    <w:abstractNumId w:val="5"/>
  </w:num>
  <w:num w:numId="8">
    <w:abstractNumId w:val="10"/>
  </w:num>
  <w:num w:numId="9">
    <w:abstractNumId w:val="3"/>
  </w:num>
  <w:num w:numId="10">
    <w:abstractNumId w:val="17"/>
  </w:num>
  <w:num w:numId="11">
    <w:abstractNumId w:val="6"/>
  </w:num>
  <w:num w:numId="12">
    <w:abstractNumId w:val="2"/>
  </w:num>
  <w:num w:numId="13">
    <w:abstractNumId w:val="28"/>
  </w:num>
  <w:num w:numId="14">
    <w:abstractNumId w:val="25"/>
  </w:num>
  <w:num w:numId="15">
    <w:abstractNumId w:val="9"/>
  </w:num>
  <w:num w:numId="16">
    <w:abstractNumId w:val="0"/>
  </w:num>
  <w:num w:numId="17">
    <w:abstractNumId w:val="26"/>
  </w:num>
  <w:num w:numId="18">
    <w:abstractNumId w:val="18"/>
  </w:num>
  <w:num w:numId="19">
    <w:abstractNumId w:val="18"/>
    <w:lvlOverride w:ilvl="0">
      <w:startOverride w:val="1"/>
    </w:lvlOverride>
  </w:num>
  <w:num w:numId="20">
    <w:abstractNumId w:val="18"/>
    <w:lvlOverride w:ilvl="0">
      <w:startOverride w:val="1"/>
    </w:lvlOverride>
  </w:num>
  <w:num w:numId="21">
    <w:abstractNumId w:val="12"/>
  </w:num>
  <w:num w:numId="22">
    <w:abstractNumId w:val="24"/>
  </w:num>
  <w:num w:numId="23">
    <w:abstractNumId w:val="20"/>
  </w:num>
  <w:num w:numId="24">
    <w:abstractNumId w:val="2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1"/>
  </w:num>
  <w:num w:numId="28">
    <w:abstractNumId w:val="1"/>
  </w:num>
  <w:num w:numId="29">
    <w:abstractNumId w:val="15"/>
  </w:num>
  <w:num w:numId="30">
    <w:abstractNumId w:val="8"/>
  </w:num>
  <w:num w:numId="31">
    <w:abstractNumId w:val="13"/>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55A58"/>
    <w:rsid w:val="000C7D44"/>
    <w:rsid w:val="00112D79"/>
    <w:rsid w:val="00113231"/>
    <w:rsid w:val="0019274A"/>
    <w:rsid w:val="001A258D"/>
    <w:rsid w:val="001B0637"/>
    <w:rsid w:val="002861D8"/>
    <w:rsid w:val="002B41DE"/>
    <w:rsid w:val="002D6FD5"/>
    <w:rsid w:val="002F2603"/>
    <w:rsid w:val="002F44AC"/>
    <w:rsid w:val="002F68E3"/>
    <w:rsid w:val="00315674"/>
    <w:rsid w:val="00333A83"/>
    <w:rsid w:val="003A583B"/>
    <w:rsid w:val="00482675"/>
    <w:rsid w:val="00490C2C"/>
    <w:rsid w:val="004E203B"/>
    <w:rsid w:val="00526633"/>
    <w:rsid w:val="00534A48"/>
    <w:rsid w:val="00544467"/>
    <w:rsid w:val="005458B5"/>
    <w:rsid w:val="00576769"/>
    <w:rsid w:val="005D5E6C"/>
    <w:rsid w:val="006077E5"/>
    <w:rsid w:val="0062472D"/>
    <w:rsid w:val="00637620"/>
    <w:rsid w:val="00696738"/>
    <w:rsid w:val="006C18A0"/>
    <w:rsid w:val="006E73AB"/>
    <w:rsid w:val="007035ED"/>
    <w:rsid w:val="00745244"/>
    <w:rsid w:val="00782A14"/>
    <w:rsid w:val="007B68F1"/>
    <w:rsid w:val="007B6CE1"/>
    <w:rsid w:val="007D19BE"/>
    <w:rsid w:val="007F2399"/>
    <w:rsid w:val="008030B2"/>
    <w:rsid w:val="00840CF4"/>
    <w:rsid w:val="00850B53"/>
    <w:rsid w:val="008F6016"/>
    <w:rsid w:val="008F652C"/>
    <w:rsid w:val="00940ECE"/>
    <w:rsid w:val="00942C6B"/>
    <w:rsid w:val="00947E95"/>
    <w:rsid w:val="00961DC4"/>
    <w:rsid w:val="009724A6"/>
    <w:rsid w:val="00982672"/>
    <w:rsid w:val="009B0DCF"/>
    <w:rsid w:val="009E1C95"/>
    <w:rsid w:val="00A11F2B"/>
    <w:rsid w:val="00A43D90"/>
    <w:rsid w:val="00A962EF"/>
    <w:rsid w:val="00AB2106"/>
    <w:rsid w:val="00AC1ABB"/>
    <w:rsid w:val="00AF41C0"/>
    <w:rsid w:val="00AF7674"/>
    <w:rsid w:val="00B933BD"/>
    <w:rsid w:val="00BA1F5B"/>
    <w:rsid w:val="00BE262F"/>
    <w:rsid w:val="00BF55BF"/>
    <w:rsid w:val="00BF67C9"/>
    <w:rsid w:val="00C251CF"/>
    <w:rsid w:val="00C32505"/>
    <w:rsid w:val="00C55025"/>
    <w:rsid w:val="00C65D61"/>
    <w:rsid w:val="00C736BA"/>
    <w:rsid w:val="00C94042"/>
    <w:rsid w:val="00C94646"/>
    <w:rsid w:val="00C947AD"/>
    <w:rsid w:val="00CA0FCC"/>
    <w:rsid w:val="00D70F4E"/>
    <w:rsid w:val="00DB66FD"/>
    <w:rsid w:val="00DE1074"/>
    <w:rsid w:val="00E1059A"/>
    <w:rsid w:val="00E3140B"/>
    <w:rsid w:val="00E35F12"/>
    <w:rsid w:val="00E778ED"/>
    <w:rsid w:val="00E8262D"/>
    <w:rsid w:val="00E96797"/>
    <w:rsid w:val="00EA3AC8"/>
    <w:rsid w:val="00EB54BE"/>
    <w:rsid w:val="00EC6E69"/>
    <w:rsid w:val="00ED0AA8"/>
    <w:rsid w:val="00ED145B"/>
    <w:rsid w:val="00ED2833"/>
    <w:rsid w:val="00ED32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35ED"/>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uiPriority w:val="34"/>
    <w:qFormat/>
    <w:rsid w:val="00840CF4"/>
    <w:pPr>
      <w:ind w:left="720"/>
      <w:contextualSpacing/>
    </w:pPr>
  </w:style>
  <w:style w:type="numbering" w:customStyle="1" w:styleId="1">
    <w:name w:val="Стиль1"/>
    <w:uiPriority w:val="99"/>
    <w:rsid w:val="00840CF4"/>
    <w:pPr>
      <w:numPr>
        <w:numId w:val="2"/>
      </w:numPr>
    </w:pPr>
  </w:style>
  <w:style w:type="paragraph" w:styleId="ac">
    <w:name w:val="No Spacing"/>
    <w:uiPriority w:val="1"/>
    <w:qFormat/>
    <w:rsid w:val="006E73AB"/>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uiPriority w:val="59"/>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s>
</file>

<file path=word/webSettings.xml><?xml version="1.0" encoding="utf-8"?>
<w:webSettings xmlns:r="http://schemas.openxmlformats.org/officeDocument/2006/relationships" xmlns:w="http://schemas.openxmlformats.org/wordprocessingml/2006/main">
  <w:divs>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igmaprotector.com/ru/about.html" TargetMode="External"/><Relationship Id="rId5" Type="http://schemas.openxmlformats.org/officeDocument/2006/relationships/webSettings" Target="webSettings.xml"/><Relationship Id="rId10" Type="http://schemas.openxmlformats.org/officeDocument/2006/relationships/hyperlink" Target="http://www.eziriz.com/dotnet_reactor.htm" TargetMode="External"/><Relationship Id="rId4" Type="http://schemas.openxmlformats.org/officeDocument/2006/relationships/settings" Target="settings.xml"/><Relationship Id="rId9" Type="http://schemas.openxmlformats.org/officeDocument/2006/relationships/hyperlink" Target="http://www.9rays.net/TourStep.aspx?TourStepID=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s>
</file>

<file path=customXml/itemProps1.xml><?xml version="1.0" encoding="utf-8"?>
<ds:datastoreItem xmlns:ds="http://schemas.openxmlformats.org/officeDocument/2006/customXml" ds:itemID="{835F9ED2-C356-408B-8498-7D1A1DD1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4104</TotalTime>
  <Pages>25</Pages>
  <Words>4313</Words>
  <Characters>24588</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14</cp:revision>
  <dcterms:created xsi:type="dcterms:W3CDTF">2014-04-11T07:15:00Z</dcterms:created>
  <dcterms:modified xsi:type="dcterms:W3CDTF">2014-04-14T17:26:00Z</dcterms:modified>
</cp:coreProperties>
</file>