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Calibri" w:hAnsi="Calibri"/>
          <w:b/>
          <w:color w:val="1B4D3E"/>
          <w:sz w:val="44"/>
        </w:rPr>
        <w:t>AyurSphere: An Intelligent, Accessibility-Focused MERN Web Platform for Ayurvedic Knowledge Integration and Conversational E-Commerce</w:t>
      </w:r>
    </w:p>
    <w:p>
      <w:pPr>
        <w:spacing w:after="360"/>
        <w:jc w:val="center"/>
      </w:pPr>
      <w:r>
        <w:rPr>
          <w:b/>
          <w:color w:val="555555"/>
          <w:sz w:val="22"/>
        </w:rPr>
        <w:t>Varad Khadilkar</w:t>
        <w:br/>
      </w:r>
      <w:r>
        <w:rPr>
          <w:i/>
          <w:color w:val="666666"/>
          <w:sz w:val="19"/>
        </w:rPr>
        <w:t>Department of Computer Engineering, Pune, India | varad.khadilkar@example.com</w:t>
        <w:br/>
        <w:t>AyurSphere Research Group &amp; Software Systems Division</w:t>
      </w:r>
    </w:p>
    <w:p>
      <w:pPr>
        <w:spacing w:before="80" w:after="240"/>
        <w:pBdr>
          <w:bottom w:val="single" w:sz="6" w:space="1" w:color="1B4D3E"/>
        </w:pBdr>
      </w:pPr>
    </w:p>
    <w:p>
      <w:pPr>
        <w:spacing w:before="120" w:after="280"/>
        <w:ind w:left="720" w:right="720"/>
        <w:jc w:val="both"/>
      </w:pPr>
      <w:r>
        <w:rPr>
          <w:b/>
          <w:color w:val="1B4D3E"/>
          <w:sz w:val="20"/>
        </w:rPr>
        <w:t>Abstract—</w:t>
      </w:r>
      <w:r>
        <w:rPr>
          <w:i/>
          <w:sz w:val="20"/>
        </w:rPr>
        <w:t>As modern lifestyle stresses multiply, there is a resurgent interest in traditional herbal medicine, notably Ayurveda. However, a significant digital gap exists: current web platforms are either static informational repositories lacking procurement pathways, or commercial e-commerce websites devoid of traditional educational context. Furthermore, accessibility features tailored for non-tech-savvy or elderly demographics remain highly underdeveloped. This paper presents AyurSphere, an advanced full-stack MERN (MongoDB, Express.js, React, Node.js) web application designed to bridge this divide. AyurSphere integrates a comprehensive Ayurvedic plant database containing detailed botanical profiles (including traditional classifications like Rasa, Virya, Vipaka, and Dosha) with a robust, transactional e-commerce engine. Critically, we address the accessibility challenge by implementing a highly optimized, multimodal Conversational AI Voice Assistant. Powered by Sarvam AI for accent-tolerant Speech-to-Text (STT) and natural Text-to-Speech (TTS), coupled with an orchestrator running OpenRouter Llama-3, the assistant provides natural-language herbal consultations and hands-free interface navigation. To enhance engagement, the application incorporates a 'Premium Nature' user interface driven by scroll-linked parallax animations (Framer Motion). We analyze the software architecture, database normalization, conversational AI data pipeline, human-computer interaction (HCI) paradigms, security frameworks, and system performance optimizations of the implemented platform.</w:t>
      </w:r>
    </w:p>
    <w:p>
      <w:pPr>
        <w:spacing w:after="360"/>
        <w:ind w:left="720" w:right="720"/>
      </w:pPr>
      <w:r>
        <w:rPr>
          <w:b/>
          <w:sz w:val="19"/>
        </w:rPr>
        <w:t>Keywords—</w:t>
      </w:r>
      <w:r>
        <w:rPr>
          <w:i/>
          <w:color w:val="444444"/>
          <w:sz w:val="19"/>
        </w:rPr>
        <w:t>Ayurvedic Medicine, MERN Stack, Conversational AI, Speech Processing, E-Commerce, Human-Computer Interaction, Web Accessibility, Framer Motion.</w:t>
      </w:r>
    </w:p>
    <w:p>
      <w:pPr>
        <w:keepNext/>
        <w:spacing w:before="400" w:after="120"/>
      </w:pPr>
      <w:r>
        <w:rPr>
          <w:rFonts w:ascii="Calibri Light" w:hAnsi="Calibri Light"/>
          <w:b/>
          <w:color w:val="1B4D3E"/>
          <w:sz w:val="28"/>
        </w:rPr>
        <w:t>I. INTRODUCTION</w:t>
      </w:r>
    </w:p>
    <w:p>
      <w:pPr>
        <w:spacing w:after="120"/>
        <w:jc w:val="both"/>
      </w:pPr>
      <w:r>
        <w:rPr>
          <w:b/>
          <w:color w:val="1B4D3E"/>
        </w:rPr>
        <w:t xml:space="preserve">Ayurveda, </w:t>
      </w:r>
      <w:r>
        <w:t>AyurSphere, translated as 'The Science of Life,' represents one of the world's oldest holistic healing systems, originating in the Indian subcontinent over three millennia ago. It categorizes individual health based on three biological energies or Doshas---Vata, Pitta, and Kapha---and treats ailments using tailored plant-based formulations. In the contemporary era, the global pharmaceutical landscape is experiencing a green shift, with consumers actively seeking natural, preventative wellness alternatives.</w:t>
      </w:r>
    </w:p>
    <w:p>
      <w:pPr>
        <w:spacing w:after="120"/>
        <w:jc w:val="both"/>
      </w:pPr>
      <w:r>
        <w:t>Despite this growing interest, the digital accessibility of authentic Ayurvedic resources remains highly fragmented. Users navigating the web for herbal remedies encounter a dual-choice dilemma: (1) Informational Repositories that detail botanical characteristics and traditional uses, but offer no secure mechanism for procuring these remedies; or (2) Commercial Web Portals that list herbal powders, tablets, and oils, but present them as generic commodities without the foundational Ayurvedic profile necessary for safe, contextual consumption. Additionally, standard web user interfaces are structurally optimized for digital natives, leaving older or visually impaired demographics---who are often the primary consumers of traditional medicine---alienated due to complex menu trees, dense text blocks, and the absence of intuitive voice-based interaction.</w:t>
      </w:r>
    </w:p>
    <w:p>
      <w:pPr>
        <w:spacing w:after="120"/>
        <w:jc w:val="both"/>
      </w:pPr>
      <w:r>
        <w:t>To resolve these systemic deficiencies, we developed AyurSphere, a state-of-the-art, full-stack application utilizing the MERN (MongoDB, Express.js, React, Node.js) stack. By establishing a normalized database that links botanical attributes directly with transactional products, and introducing a custom-engineered conversational regional voice pipeline, AyurSphere bridges the gap between ancient wellness systems and modern accessibility standards.</w:t>
      </w:r>
    </w:p>
    <w:p>
      <w:pPr>
        <w:keepNext/>
        <w:spacing w:before="400" w:after="120"/>
      </w:pPr>
      <w:r>
        <w:rPr>
          <w:rFonts w:ascii="Calibri Light" w:hAnsi="Calibri Light"/>
          <w:b/>
          <w:color w:val="1B4D3E"/>
          <w:sz w:val="28"/>
        </w:rPr>
        <w:t>II. RELATED WORK</w:t>
      </w:r>
    </w:p>
    <w:p>
      <w:pPr>
        <w:spacing w:after="120"/>
        <w:jc w:val="both"/>
      </w:pPr>
      <w:r>
        <w:t>Digital healthcare platforms have witnessed unprecedented growth over the last decade. Early web systems, such as WebMD or the National Center for Complementary and Integrative Health (NCCIH) database, provided comprehensive text searches but relied entirely on manual mouse-and-keyboard inputs and lacked commerce components. In the domain of Ayurveda, digital repositories like the Ayurvedic Pharmacopoeia of India have successfully digitized ancient treatises. However, their utility is restricted to academic research due to highly technical jargon and complex user interfaces.</w:t>
      </w:r>
    </w:p>
    <w:p>
      <w:pPr>
        <w:spacing w:after="120"/>
        <w:jc w:val="both"/>
      </w:pPr>
      <w:r>
        <w:t>Meanwhile, commercial wellness sites focus exclusively on transactional throughput, offering minimal educational context regarding the specific Rasa (taste), Virya (potency), and Vipaka (post-digestive effect) of the ingredients. Conversational agents in healthcare have emerged as a viable solution to bridge accessibility gaps. Clinical systems like Babylon Health utilize rigid, rule-based decision trees for symptom triage, which fail to accommodate natural, expressive conversational patterns. Recent advancements in Large Language Models (LLMs) have unlocked flexible natural language understanding (NLU). However, adapting LLMs for traditional Indian medicine introduces specialized linguistic challenges: standard English Speech-to-Text (STT) engines exhibit high Word Error Rates (WER) when processing Indian-accented speech and specialized Sanskrit terms (e.g., Shatavari, Guduchi), and LLMs are highly prone to hallucinations, generating unsafe medical advice or incorrect botanical identifications when not rigorously constrained.</w:t>
      </w:r>
    </w:p>
    <w:p>
      <w:pPr>
        <w:keepNext/>
        <w:spacing w:before="400" w:after="120"/>
      </w:pPr>
      <w:r>
        <w:rPr>
          <w:rFonts w:ascii="Calibri Light" w:hAnsi="Calibri Light"/>
          <w:b/>
          <w:color w:val="1B4D3E"/>
          <w:sz w:val="28"/>
        </w:rPr>
        <w:t>III. SYSTEM DESIGN AND ARCHITECTURE</w:t>
      </w:r>
    </w:p>
    <w:p>
      <w:pPr>
        <w:spacing w:after="120"/>
        <w:jc w:val="both"/>
      </w:pPr>
      <w:r>
        <w:t>The architecture of AyurSphere follows a decoupled Client-Server model. The frontend Client Tier renders the interactive views, handles audio recording, and operates client-side routing. The backend Application Tier processes API requests, manages authentication, mediates speech-to-text workflows, and queries the persistent Database Tier. Mongoose, an elegant Object Data Modeling (ODM) library, enforces structure and validates document relationships, ensuring database integrity.</w:t>
      </w:r>
    </w:p>
    <w:p>
      <w:pPr>
        <w:keepNext/>
        <w:spacing w:before="280" w:after="80"/>
      </w:pPr>
      <w:r>
        <w:rPr>
          <w:rFonts w:ascii="Calibri Light" w:hAnsi="Calibri Light"/>
          <w:b/>
          <w:color w:val="87A96B"/>
          <w:sz w:val="24"/>
        </w:rPr>
        <w:t>A. Database Schema Design and Normalization</w:t>
      </w:r>
    </w:p>
    <w:p>
      <w:pPr>
        <w:spacing w:after="120"/>
        <w:jc w:val="both"/>
      </w:pPr>
      <w:r>
        <w:t>To manage the multi-layered relationships between botanical properties, retail products, users, and transactions, we designed a normalized Mongoose schema structure. MongoDB's document model provides the flexibility required for varying botanical descriptions while maintaining strict schema structures where transactional integrity is vital. The relationships are structured as follows:</w:t>
      </w:r>
    </w:p>
    <w:tbl>
      <w:tblPr>
        <w:tblW w:type="auto" w:w="0"/>
        <w:tblLayout w:type="fixed"/>
        <w:tblLook w:firstColumn="1" w:firstRow="1" w:lastColumn="0" w:lastRow="0" w:noHBand="0" w:noVBand="1" w:val="04A0"/>
      </w:tblPr>
      <w:tblGrid>
        <w:gridCol w:w="3120"/>
        <w:gridCol w:w="3120"/>
        <w:gridCol w:w="3120"/>
      </w:tblGrid>
      <w:tr>
        <w:tc>
          <w:tcPr>
            <w:tcW w:type="dxa" w:w="1440"/>
            <w:shd w:val="clear" w:color="auto" w:fill="1B4D3E"/>
            <w:tcMar>
              <w:top w:w="160" w:type="dxa"/>
              <w:bottom w:w="160" w:type="dxa"/>
              <w:left w:w="120" w:type="dxa"/>
              <w:right w:w="120" w:type="dxa"/>
            </w:tcMar>
          </w:tcPr>
          <w:p>
            <w:pPr>
              <w:jc w:val="center"/>
            </w:pPr>
            <w:r>
              <w:rPr>
                <w:b/>
                <w:color w:val="FFFFFF"/>
                <w:sz w:val="19"/>
              </w:rPr>
              <w:t>Entity</w:t>
            </w:r>
          </w:p>
        </w:tc>
        <w:tc>
          <w:tcPr>
            <w:tcW w:type="dxa" w:w="5040"/>
            <w:shd w:val="clear" w:color="auto" w:fill="1B4D3E"/>
            <w:tcMar>
              <w:top w:w="160" w:type="dxa"/>
              <w:bottom w:w="160" w:type="dxa"/>
              <w:left w:w="120" w:type="dxa"/>
              <w:right w:w="120" w:type="dxa"/>
            </w:tcMar>
          </w:tcPr>
          <w:p>
            <w:pPr>
              <w:jc w:val="center"/>
            </w:pPr>
            <w:r>
              <w:rPr>
                <w:b/>
                <w:color w:val="FFFFFF"/>
                <w:sz w:val="19"/>
              </w:rPr>
              <w:t>Key Attribute Fields</w:t>
            </w:r>
          </w:p>
        </w:tc>
        <w:tc>
          <w:tcPr>
            <w:tcW w:type="dxa" w:w="2880"/>
            <w:shd w:val="clear" w:color="auto" w:fill="1B4D3E"/>
            <w:tcMar>
              <w:top w:w="160" w:type="dxa"/>
              <w:bottom w:w="160" w:type="dxa"/>
              <w:left w:w="120" w:type="dxa"/>
              <w:right w:w="120" w:type="dxa"/>
            </w:tcMar>
          </w:tcPr>
          <w:p>
            <w:pPr>
              <w:jc w:val="center"/>
            </w:pPr>
            <w:r>
              <w:rPr>
                <w:b/>
                <w:color w:val="FFFFFF"/>
                <w:sz w:val="19"/>
              </w:rPr>
              <w:t>Relationships</w:t>
            </w:r>
          </w:p>
        </w:tc>
      </w:tr>
      <w:tr>
        <w:tc>
          <w:tcPr>
            <w:tcW w:type="dxa" w:w="1440"/>
            <w:shd w:val="clear" w:color="auto" w:fill="FFFFFF"/>
            <w:tcMar>
              <w:top w:w="120" w:type="dxa"/>
              <w:bottom w:w="120" w:type="dxa"/>
              <w:left w:w="120" w:type="dxa"/>
              <w:right w:w="120" w:type="dxa"/>
            </w:tcMar>
          </w:tcPr>
          <w:p>
            <w:pPr>
              <w:jc w:val="left"/>
            </w:pPr>
            <w:r>
              <w:rPr>
                <w:rFonts w:ascii="Calibri" w:hAnsi="Calibri"/>
                <w:sz w:val="18"/>
              </w:rPr>
              <w:t>User</w:t>
            </w:r>
          </w:p>
        </w:tc>
        <w:tc>
          <w:tcPr>
            <w:tcW w:type="dxa" w:w="5040"/>
            <w:shd w:val="clear" w:color="auto" w:fill="FFFFFF"/>
            <w:tcMar>
              <w:top w:w="120" w:type="dxa"/>
              <w:bottom w:w="120" w:type="dxa"/>
              <w:left w:w="120" w:type="dxa"/>
              <w:right w:w="120" w:type="dxa"/>
            </w:tcMar>
          </w:tcPr>
          <w:p>
            <w:pPr>
              <w:jc w:val="left"/>
            </w:pPr>
            <w:r>
              <w:rPr>
                <w:rFonts w:ascii="Calibri" w:hAnsi="Calibri"/>
                <w:sz w:val="18"/>
              </w:rPr>
              <w:t>username, password (hashed), role, email, mobile, address, medicalHistory</w:t>
            </w:r>
          </w:p>
        </w:tc>
        <w:tc>
          <w:tcPr>
            <w:tcW w:type="dxa" w:w="2880"/>
            <w:shd w:val="clear" w:color="auto" w:fill="FFFFFF"/>
            <w:tcMar>
              <w:top w:w="120" w:type="dxa"/>
              <w:bottom w:w="120" w:type="dxa"/>
              <w:left w:w="120" w:type="dxa"/>
              <w:right w:w="120" w:type="dxa"/>
            </w:tcMar>
          </w:tcPr>
          <w:p>
            <w:pPr>
              <w:jc w:val="left"/>
            </w:pPr>
            <w:r>
              <w:rPr>
                <w:rFonts w:ascii="Calibri" w:hAnsi="Calibri"/>
                <w:sz w:val="18"/>
              </w:rPr>
              <w:t>Owner of Cart and Order entities</w:t>
            </w:r>
          </w:p>
        </w:tc>
      </w:tr>
      <w:tr>
        <w:tc>
          <w:tcPr>
            <w:tcW w:type="dxa" w:w="1440"/>
            <w:shd w:val="clear" w:color="auto" w:fill="F0F5F2"/>
            <w:tcMar>
              <w:top w:w="120" w:type="dxa"/>
              <w:bottom w:w="120" w:type="dxa"/>
              <w:left w:w="120" w:type="dxa"/>
              <w:right w:w="120" w:type="dxa"/>
            </w:tcMar>
          </w:tcPr>
          <w:p>
            <w:pPr>
              <w:jc w:val="left"/>
            </w:pPr>
            <w:r>
              <w:rPr>
                <w:rFonts w:ascii="Calibri" w:hAnsi="Calibri"/>
                <w:sz w:val="18"/>
              </w:rPr>
              <w:t>Plant</w:t>
            </w:r>
          </w:p>
        </w:tc>
        <w:tc>
          <w:tcPr>
            <w:tcW w:type="dxa" w:w="5040"/>
            <w:shd w:val="clear" w:color="auto" w:fill="F0F5F2"/>
            <w:tcMar>
              <w:top w:w="120" w:type="dxa"/>
              <w:bottom w:w="120" w:type="dxa"/>
              <w:left w:w="120" w:type="dxa"/>
              <w:right w:w="120" w:type="dxa"/>
            </w:tcMar>
          </w:tcPr>
          <w:p>
            <w:pPr>
              <w:jc w:val="left"/>
            </w:pPr>
            <w:r>
              <w:rPr>
                <w:rFonts w:ascii="Calibri" w:hAnsi="Calibri"/>
                <w:sz w:val="18"/>
              </w:rPr>
              <w:t>plantName, scientificName, category, description, uses, ayurvedicProfile</w:t>
            </w:r>
          </w:p>
        </w:tc>
        <w:tc>
          <w:tcPr>
            <w:tcW w:type="dxa" w:w="2880"/>
            <w:shd w:val="clear" w:color="auto" w:fill="F0F5F2"/>
            <w:tcMar>
              <w:top w:w="120" w:type="dxa"/>
              <w:bottom w:w="120" w:type="dxa"/>
              <w:left w:w="120" w:type="dxa"/>
              <w:right w:w="120" w:type="dxa"/>
            </w:tcMar>
          </w:tcPr>
          <w:p>
            <w:pPr>
              <w:jc w:val="left"/>
            </w:pPr>
            <w:r>
              <w:rPr>
                <w:rFonts w:ascii="Calibri" w:hAnsi="Calibri"/>
                <w:sz w:val="18"/>
              </w:rPr>
              <w:t>Primary educational catalog entity</w:t>
            </w:r>
          </w:p>
        </w:tc>
      </w:tr>
      <w:tr>
        <w:tc>
          <w:tcPr>
            <w:tcW w:type="dxa" w:w="1440"/>
            <w:shd w:val="clear" w:color="auto" w:fill="FFFFFF"/>
            <w:tcMar>
              <w:top w:w="120" w:type="dxa"/>
              <w:bottom w:w="120" w:type="dxa"/>
              <w:left w:w="120" w:type="dxa"/>
              <w:right w:w="120" w:type="dxa"/>
            </w:tcMar>
          </w:tcPr>
          <w:p>
            <w:pPr>
              <w:jc w:val="left"/>
            </w:pPr>
            <w:r>
              <w:rPr>
                <w:rFonts w:ascii="Calibri" w:hAnsi="Calibri"/>
                <w:sz w:val="18"/>
              </w:rPr>
              <w:t>Product</w:t>
            </w:r>
          </w:p>
        </w:tc>
        <w:tc>
          <w:tcPr>
            <w:tcW w:type="dxa" w:w="5040"/>
            <w:shd w:val="clear" w:color="auto" w:fill="FFFFFF"/>
            <w:tcMar>
              <w:top w:w="120" w:type="dxa"/>
              <w:bottom w:w="120" w:type="dxa"/>
              <w:left w:w="120" w:type="dxa"/>
              <w:right w:w="120" w:type="dxa"/>
            </w:tcMar>
          </w:tcPr>
          <w:p>
            <w:pPr>
              <w:jc w:val="left"/>
            </w:pPr>
            <w:r>
              <w:rPr>
                <w:rFonts w:ascii="Calibri" w:hAnsi="Calibri"/>
                <w:sz w:val="18"/>
              </w:rPr>
              <w:t>plantId (reference), name, price, type (powder, oil, etc.), inStock</w:t>
            </w:r>
          </w:p>
        </w:tc>
        <w:tc>
          <w:tcPr>
            <w:tcW w:type="dxa" w:w="2880"/>
            <w:shd w:val="clear" w:color="auto" w:fill="FFFFFF"/>
            <w:tcMar>
              <w:top w:w="120" w:type="dxa"/>
              <w:bottom w:w="120" w:type="dxa"/>
              <w:left w:w="120" w:type="dxa"/>
              <w:right w:w="120" w:type="dxa"/>
            </w:tcMar>
          </w:tcPr>
          <w:p>
            <w:pPr>
              <w:jc w:val="left"/>
            </w:pPr>
            <w:r>
              <w:rPr>
                <w:rFonts w:ascii="Calibri" w:hAnsi="Calibri"/>
                <w:sz w:val="18"/>
              </w:rPr>
              <w:t>Linked directly to parent Plant model</w:t>
            </w:r>
          </w:p>
        </w:tc>
      </w:tr>
      <w:tr>
        <w:tc>
          <w:tcPr>
            <w:tcW w:type="dxa" w:w="1440"/>
            <w:shd w:val="clear" w:color="auto" w:fill="F0F5F2"/>
            <w:tcMar>
              <w:top w:w="120" w:type="dxa"/>
              <w:bottom w:w="120" w:type="dxa"/>
              <w:left w:w="120" w:type="dxa"/>
              <w:right w:w="120" w:type="dxa"/>
            </w:tcMar>
          </w:tcPr>
          <w:p>
            <w:pPr>
              <w:jc w:val="left"/>
            </w:pPr>
            <w:r>
              <w:rPr>
                <w:rFonts w:ascii="Calibri" w:hAnsi="Calibri"/>
                <w:sz w:val="18"/>
              </w:rPr>
              <w:t>Cart</w:t>
            </w:r>
          </w:p>
        </w:tc>
        <w:tc>
          <w:tcPr>
            <w:tcW w:type="dxa" w:w="5040"/>
            <w:shd w:val="clear" w:color="auto" w:fill="F0F5F2"/>
            <w:tcMar>
              <w:top w:w="120" w:type="dxa"/>
              <w:bottom w:w="120" w:type="dxa"/>
              <w:left w:w="120" w:type="dxa"/>
              <w:right w:w="120" w:type="dxa"/>
            </w:tcMar>
          </w:tcPr>
          <w:p>
            <w:pPr>
              <w:jc w:val="left"/>
            </w:pPr>
            <w:r>
              <w:rPr>
                <w:rFonts w:ascii="Calibri" w:hAnsi="Calibri"/>
                <w:sz w:val="18"/>
              </w:rPr>
              <w:t>userId (reference), items [productId, quantity]</w:t>
            </w:r>
          </w:p>
        </w:tc>
        <w:tc>
          <w:tcPr>
            <w:tcW w:type="dxa" w:w="2880"/>
            <w:shd w:val="clear" w:color="auto" w:fill="F0F5F2"/>
            <w:tcMar>
              <w:top w:w="120" w:type="dxa"/>
              <w:bottom w:w="120" w:type="dxa"/>
              <w:left w:w="120" w:type="dxa"/>
              <w:right w:w="120" w:type="dxa"/>
            </w:tcMar>
          </w:tcPr>
          <w:p>
            <w:pPr>
              <w:jc w:val="left"/>
            </w:pPr>
            <w:r>
              <w:rPr>
                <w:rFonts w:ascii="Calibri" w:hAnsi="Calibri"/>
                <w:sz w:val="18"/>
              </w:rPr>
              <w:t>Aggregates selected items for checkout</w:t>
            </w:r>
          </w:p>
        </w:tc>
      </w:tr>
      <w:tr>
        <w:tc>
          <w:tcPr>
            <w:tcW w:type="dxa" w:w="1440"/>
            <w:shd w:val="clear" w:color="auto" w:fill="FFFFFF"/>
            <w:tcMar>
              <w:top w:w="120" w:type="dxa"/>
              <w:bottom w:w="120" w:type="dxa"/>
              <w:left w:w="120" w:type="dxa"/>
              <w:right w:w="120" w:type="dxa"/>
            </w:tcMar>
          </w:tcPr>
          <w:p>
            <w:pPr>
              <w:jc w:val="left"/>
            </w:pPr>
            <w:r>
              <w:rPr>
                <w:rFonts w:ascii="Calibri" w:hAnsi="Calibri"/>
                <w:sz w:val="18"/>
              </w:rPr>
              <w:t>Order</w:t>
            </w:r>
          </w:p>
        </w:tc>
        <w:tc>
          <w:tcPr>
            <w:tcW w:type="dxa" w:w="5040"/>
            <w:shd w:val="clear" w:color="auto" w:fill="FFFFFF"/>
            <w:tcMar>
              <w:top w:w="120" w:type="dxa"/>
              <w:bottom w:w="120" w:type="dxa"/>
              <w:left w:w="120" w:type="dxa"/>
              <w:right w:w="120" w:type="dxa"/>
            </w:tcMar>
          </w:tcPr>
          <w:p>
            <w:pPr>
              <w:jc w:val="left"/>
            </w:pPr>
            <w:r>
              <w:rPr>
                <w:rFonts w:ascii="Calibri" w:hAnsi="Calibri"/>
                <w:sz w:val="18"/>
              </w:rPr>
              <w:t>userId, items, subTotal, gstAmount, totalAmount, shippingAddress, status</w:t>
            </w:r>
          </w:p>
        </w:tc>
        <w:tc>
          <w:tcPr>
            <w:tcW w:type="dxa" w:w="2880"/>
            <w:shd w:val="clear" w:color="auto" w:fill="FFFFFF"/>
            <w:tcMar>
              <w:top w:w="120" w:type="dxa"/>
              <w:bottom w:w="120" w:type="dxa"/>
              <w:left w:w="120" w:type="dxa"/>
              <w:right w:w="120" w:type="dxa"/>
            </w:tcMar>
          </w:tcPr>
          <w:p>
            <w:pPr>
              <w:jc w:val="left"/>
            </w:pPr>
            <w:r>
              <w:rPr>
                <w:rFonts w:ascii="Calibri" w:hAnsi="Calibri"/>
                <w:sz w:val="18"/>
              </w:rPr>
              <w:t>Snapshot of finalized transactional records</w:t>
            </w:r>
          </w:p>
        </w:tc>
      </w:tr>
    </w:tbl>
    <w:p>
      <w:pPr>
        <w:spacing w:after="240"/>
      </w:pPr>
    </w:p>
    <w:p>
      <w:pPr>
        <w:keepNext/>
        <w:spacing w:before="400" w:after="120"/>
      </w:pPr>
      <w:r>
        <w:rPr>
          <w:rFonts w:ascii="Calibri Light" w:hAnsi="Calibri Light"/>
          <w:b/>
          <w:color w:val="1B4D3E"/>
          <w:sz w:val="28"/>
        </w:rPr>
        <w:t>IV. THE CONVERSATIONAL AI PROCESSING PIPELINE</w:t>
      </w:r>
    </w:p>
    <w:p>
      <w:pPr>
        <w:spacing w:after="120"/>
        <w:jc w:val="both"/>
      </w:pPr>
      <w:r>
        <w:t>The primary technical innovation of AyurSphere is the end-to-end conversational speech pipeline integrated into the e-commerce client. The system sequence is divided into five distinct phases, orchestrating local Web Audio APIs, regional AI models, and generative Large Language Models.</w:t>
      </w:r>
    </w:p>
    <w:p>
      <w:pPr>
        <w:keepNext/>
        <w:spacing w:before="280" w:after="80"/>
      </w:pPr>
      <w:r>
        <w:rPr>
          <w:rFonts w:ascii="Calibri Light" w:hAnsi="Calibri Light"/>
          <w:b/>
          <w:color w:val="87A96B"/>
          <w:sz w:val="24"/>
        </w:rPr>
        <w:t>A. Speech Capture and Translatability (STT)</w:t>
      </w:r>
    </w:p>
    <w:p>
      <w:pPr>
        <w:spacing w:after="120"/>
        <w:jc w:val="both"/>
      </w:pPr>
      <w:r>
        <w:t>The client accesses the user's microphone using the HTML5 MediaRecorder API, capturing raw audio in a compressed container (typically audio/webm). Upon recording termination, the binary blob is dispatched via a multipart POST request to the Express backend. The server caches the audio temporarily via multer and streams it to the Sarvam AI Speech-to-Text API. The choice of Sarvam AI is mathematically motivated by its superior acoustic models optimized for Indian English accents (en-IN), resulting in a significantly lower Word Error Rate (WER) compared to standard global acoustic models.</w:t>
      </w:r>
    </w:p>
    <w:p>
      <w:pPr>
        <w:keepNext/>
        <w:spacing w:before="280" w:after="80"/>
      </w:pPr>
      <w:r>
        <w:rPr>
          <w:rFonts w:ascii="Calibri Light" w:hAnsi="Calibri Light"/>
          <w:b/>
          <w:color w:val="87A96B"/>
          <w:sz w:val="24"/>
        </w:rPr>
        <w:t>B. Contextual Dialog Management and Prompt Engineering</w:t>
      </w:r>
    </w:p>
    <w:p>
      <w:pPr>
        <w:spacing w:after="120"/>
        <w:jc w:val="both"/>
      </w:pPr>
      <w:r>
        <w:t>Once transcribed, the plain text is forwarded to OpenRouter's API, targeted at the meta-llama/llama-3-8b-instruct model. To ensure clinical safety and maintain focus on traditional home remedies, the model is initialized with a strict system instruction. The prompt acts as a semantic constraint layer. By restricting the outputs to home remedies and establishing standard structural formats, the system avoids generating unsafe medical claims, thereby mitigating clinical risk and hallucinations.</w:t>
      </w:r>
    </w:p>
    <w:p>
      <w:pPr>
        <w:keepNext/>
        <w:spacing w:before="280" w:after="80"/>
      </w:pPr>
      <w:r>
        <w:rPr>
          <w:rFonts w:ascii="Calibri Light" w:hAnsi="Calibri Light"/>
          <w:b/>
          <w:color w:val="87A96B"/>
          <w:sz w:val="24"/>
        </w:rPr>
        <w:t>C. Speech Synthesis and Playback (TTS)</w:t>
      </w:r>
    </w:p>
    <w:p>
      <w:pPr>
        <w:spacing w:after="120"/>
        <w:jc w:val="both"/>
      </w:pPr>
      <w:r>
        <w:t>The LLM response is returned as a markdown text stream. This response is directed to the Sarvam AI Text-to-Speech synthesis API. The backend configures the model with regional voice identities (targeting en-IN dialects) to maintain character consistency. The synthesized audio is received as a binary array buffer, converted to a Base64-encoded string, and transmitted to the React client within a single JSON payload. The client decodes the string and initializes an HTML5 Audio node, providing instantaneous voice playback while displaying the text.</w:t>
      </w:r>
    </w:p>
    <w:p>
      <w:pPr>
        <w:keepNext/>
        <w:spacing w:before="400" w:after="120"/>
      </w:pPr>
      <w:r>
        <w:rPr>
          <w:rFonts w:ascii="Calibri Light" w:hAnsi="Calibri Light"/>
          <w:b/>
          <w:color w:val="1B4D3E"/>
          <w:sz w:val="28"/>
        </w:rPr>
        <w:t>V. DETAILED SOFTWARE IMPLEMENTATION</w:t>
      </w:r>
    </w:p>
    <w:p>
      <w:pPr>
        <w:keepNext/>
        <w:spacing w:before="280" w:after="80"/>
      </w:pPr>
      <w:r>
        <w:rPr>
          <w:rFonts w:ascii="Calibri Light" w:hAnsi="Calibri Light"/>
          <w:b/>
          <w:color w:val="87A96B"/>
          <w:sz w:val="24"/>
        </w:rPr>
        <w:t>A. Express.js Backend &amp; Security Layer</w:t>
      </w:r>
    </w:p>
    <w:p>
      <w:pPr>
        <w:spacing w:after="120"/>
        <w:jc w:val="both"/>
      </w:pPr>
      <w:r>
        <w:t>The backend is built around Node.js and Express.js, providing modular routes. Security is enforced through custom middleware. Passwords are hashed during signup using bcryptjs with a work factor of 10 rounds. Stateless user sessions are authenticated using JSON Web Tokens (JWT) signed with HMAC-SHA256, transmitted via the Authorization header. This decouples the API server from persistent session storage, facilitating seamless vertical and horizontal scaling.</w:t>
      </w:r>
    </w:p>
    <w:p>
      <w:pPr>
        <w:keepNext/>
        <w:spacing w:before="280" w:after="80"/>
      </w:pPr>
      <w:r>
        <w:rPr>
          <w:rFonts w:ascii="Calibri Light" w:hAnsi="Calibri Light"/>
          <w:b/>
          <w:color w:val="87A96B"/>
          <w:sz w:val="24"/>
        </w:rPr>
        <w:t>B. React.js Client-Side State and Performance Tuning</w:t>
      </w:r>
    </w:p>
    <w:p>
      <w:pPr>
        <w:spacing w:after="120"/>
        <w:jc w:val="both"/>
      </w:pPr>
      <w:r>
        <w:t>The frontend SPA leverages React 18, utilizing the Vite build tool to compile optimized assets. Global states---notably user authentication status, navigation history, and shopping cart items---are managed using the Context API to minimize prop-drilling. To handle a large catalog of botanical products without lagging the UI thread, the core page, DashboardPage.jsx, implements a memoized filtering system. The filtering logic utilizes the useMemo hook, caching computed arrays and only recalculating when the source dataset, selected categories, or the search term changes.</w:t>
      </w:r>
    </w:p>
    <w:tbl>
      <w:tblPr>
        <w:tblW w:type="auto" w:w="0"/>
        <w:tblLayout w:type="autofit"/>
        <w:tblLook w:firstColumn="1" w:firstRow="1" w:lastColumn="0" w:lastRow="0" w:noHBand="0" w:noVBand="1" w:val="04A0"/>
      </w:tblPr>
      <w:tblGrid>
        <w:gridCol w:w="9360"/>
      </w:tblGrid>
      <w:tr>
        <w:tc>
          <w:tcPr>
            <w:tcW w:type="dxa" w:w="9360"/>
            <w:shd w:val="clear" w:color="auto" w:fill="F5F5F5"/>
            <w:tcMar>
              <w:top w:w="140" w:type="dxa"/>
              <w:bottom w:w="140" w:type="dxa"/>
              <w:left w:w="200" w:type="dxa"/>
              <w:right w:w="200" w:type="dxa"/>
            </w:tcMar>
            <w:tcBorders>
              <w:left w:val="single" w:sz="24" w:space="0" w:color="1B4D3E"/>
            </w:tcBorders>
          </w:tcPr>
          <w:p>
            <w:pPr>
              <w:spacing w:before="80" w:after="80"/>
            </w:pPr>
            <w:r>
              <w:rPr>
                <w:rFonts w:ascii="Courier New" w:hAnsi="Courier New"/>
                <w:color w:val="333333"/>
                <w:sz w:val="17"/>
              </w:rPr>
              <w:t>// useMemo hook optimized client-side dynamic search and filtering</w:t>
              <w:br/>
              <w:t>const filteredPlants = useMemo(() =&gt; {</w:t>
              <w:br/>
              <w:t xml:space="preserve">  const lowerSearch = searchTerm.trim().toLowerCase();</w:t>
              <w:br/>
              <w:t xml:space="preserve">  return plants.filter((plant) =&gt; {</w:t>
              <w:br/>
              <w:t xml:space="preserve">    const plantCategory = (plant.category || '').toLowerCase();</w:t>
              <w:br/>
              <w:t xml:space="preserve">    const active = (activeCategory || '').toLowerCase();</w:t>
              <w:br/>
              <w:t xml:space="preserve">    const categoryMatch = !active || plantCategory === active;</w:t>
              <w:br/>
              <w:t xml:space="preserve">    if (!categoryMatch) return false;</w:t>
              <w:br/>
              <w:t xml:space="preserve">    if (!lowerSearch) return true;</w:t>
              <w:br/>
              <w:t xml:space="preserve">    return plant.plantName.toLowerCase().includes(lowerSearch) ||</w:t>
              <w:br/>
              <w:t xml:space="preserve">           plant.scientificName.toLowerCase().includes(lowerSearch);</w:t>
              <w:br/>
              <w:t xml:space="preserve">  });</w:t>
              <w:br/>
              <w:t>}, [plants, activeCategory, searchTerm]);</w:t>
            </w:r>
          </w:p>
        </w:tc>
      </w:tr>
    </w:tbl>
    <w:p>
      <w:pPr>
        <w:spacing w:after="240"/>
      </w:pPr>
    </w:p>
    <w:p>
      <w:pPr>
        <w:keepNext/>
        <w:spacing w:before="400" w:after="120"/>
      </w:pPr>
      <w:r>
        <w:rPr>
          <w:rFonts w:ascii="Calibri Light" w:hAnsi="Calibri Light"/>
          <w:b/>
          <w:color w:val="1B4D3E"/>
          <w:sz w:val="28"/>
        </w:rPr>
        <w:t>VI. HUMAN-COMPUTER INTERACTION AND UI/UX DESIGN</w:t>
      </w:r>
    </w:p>
    <w:p>
      <w:pPr>
        <w:spacing w:after="120"/>
        <w:jc w:val="both"/>
      </w:pPr>
      <w:r>
        <w:t>AyurSphere implements a premium 'nature-inspired' design system designed to foster feelings of serenity and botanical immersion. It incorporates several advanced user experience patterns: Glassmorphism background panels using backdrop filters to preserve spatial awareness of underlying environmental elements; Scrollytelling Parallax driven by Framer Motion's useTransform hook to transpose multiple graphic layers based on scroll positioning; and canvas-based Dynamic Particle rendering to simulate natural falling leaves and enhance environmental immersion. The system's interface has been designed according to HCI heuristic evaluations, optimizing layouts for readability and visual clarity.</w:t>
      </w:r>
    </w:p>
    <w:p>
      <w:pPr>
        <w:keepNext/>
        <w:spacing w:before="400" w:after="120"/>
      </w:pPr>
      <w:r>
        <w:rPr>
          <w:rFonts w:ascii="Calibri Light" w:hAnsi="Calibri Light"/>
          <w:b/>
          <w:color w:val="1B4D3E"/>
          <w:sz w:val="28"/>
        </w:rPr>
        <w:t>VII. SECURITY ANALYSIS AND OPTIMIZATION</w:t>
      </w:r>
    </w:p>
    <w:p>
      <w:pPr>
        <w:spacing w:after="120"/>
        <w:jc w:val="both"/>
      </w:pPr>
      <w:r>
        <w:t>In addition to baseline authorization, several advanced defensive software engineering measures are deployed in AyurSphere. To mitigate Cross-Site Scripting (XSS), React automatically escapes rendered strings. For rich-text fields (such as admin-added plant entries), strict HTML sanitization is executed server-side. NoSQL Injection is prevented by mapping all API queries to strongly-typed Mongoose schemas, rejecting raw query operators. Cross-Origin Resource Sharing (CORS) is configured using a strict origin whitelisting middleware, and security headers (such as Helmet) are applied to mitigate clickjacking and mime-type sniffing.</w:t>
      </w:r>
    </w:p>
    <w:p>
      <w:pPr>
        <w:keepNext/>
        <w:spacing w:before="400" w:after="120"/>
      </w:pPr>
      <w:r>
        <w:rPr>
          <w:rFonts w:ascii="Calibri Light" w:hAnsi="Calibri Light"/>
          <w:b/>
          <w:color w:val="1B4D3E"/>
          <w:sz w:val="28"/>
        </w:rPr>
        <w:t>VIII. DISCUSSION AND FUTURE DIRECTIONS</w:t>
      </w:r>
    </w:p>
    <w:p>
      <w:pPr>
        <w:spacing w:after="120"/>
        <w:jc w:val="both"/>
      </w:pPr>
      <w:r>
        <w:t>The current version of AyurSphere provides a highly responsive, end-to-end framework. However, three key research frontiers remain: (1) Production Payment Systems: transitioning simulated orders into active payment gateways (Razorpay/Stripe) utilizing secure webhooks for state verification; (2) Spatial Virtual Garden (WebXR): elevating the 2D parallax animations into a immersive 3D nursery where users can walk around plants in physical space using VR/AR; and (3) ML-Based Leaf Classification: training a convolutional neural network (e.g., MobileNet) to identify medicinal plants from user-uploaded photos and directly recommend purchasing avenues.</w:t>
      </w:r>
    </w:p>
    <w:p>
      <w:pPr>
        <w:keepNext/>
        <w:spacing w:before="400" w:after="120"/>
      </w:pPr>
      <w:r>
        <w:rPr>
          <w:rFonts w:ascii="Calibri Light" w:hAnsi="Calibri Light"/>
          <w:b/>
          <w:color w:val="1B4D3E"/>
          <w:sz w:val="28"/>
        </w:rPr>
        <w:t>IX. CONCLUSION</w:t>
      </w:r>
    </w:p>
    <w:p>
      <w:pPr>
        <w:spacing w:after="120"/>
        <w:jc w:val="both"/>
      </w:pPr>
      <w:r>
        <w:t>AyurSphere successfully demonstrates how ancient health methodologies can be digitized and enhanced using modern software design. By pairing a robust, decoupled MERN stack with a custom regional Conversational AI Voice Assistant and high-performance immersive interface designs, the application sets a new precedent for accessibility and education in the health and wellness space. The decoupling of core components, optimized state memoization, and strict security layers ensure that AyurSphere is highly scalable and ready for production deployment.</w:t>
      </w:r>
    </w:p>
    <w:p>
      <w:pPr>
        <w:keepNext/>
        <w:spacing w:before="400" w:after="120"/>
      </w:pPr>
      <w:r>
        <w:rPr>
          <w:rFonts w:ascii="Calibri Light" w:hAnsi="Calibri Light"/>
          <w:b/>
          <w:color w:val="1B4D3E"/>
          <w:sz w:val="28"/>
        </w:rPr>
        <w:t>X. REFERENCES</w:t>
      </w:r>
    </w:p>
    <w:p>
      <w:pPr>
        <w:spacing w:after="80"/>
        <w:ind w:left="360" w:hanging="360"/>
      </w:pPr>
      <w:r>
        <w:rPr>
          <w:b/>
          <w:color w:val="1B4D3E"/>
          <w:sz w:val="19"/>
        </w:rPr>
        <w:t xml:space="preserve">[1] </w:t>
      </w:r>
      <w:r>
        <w:rPr>
          <w:sz w:val="19"/>
        </w:rPr>
        <w:t>M. S. Valiathan, The Legacy of Caraka, Orient Blackswan, 2003.</w:t>
      </w:r>
    </w:p>
    <w:p>
      <w:pPr>
        <w:spacing w:after="80"/>
        <w:ind w:left="360" w:hanging="360"/>
      </w:pPr>
      <w:r>
        <w:rPr>
          <w:b/>
          <w:color w:val="1B4D3E"/>
          <w:sz w:val="19"/>
        </w:rPr>
        <w:t xml:space="preserve">[2] </w:t>
      </w:r>
      <w:r>
        <w:rPr>
          <w:sz w:val="19"/>
        </w:rPr>
        <w:t>D. B. Fogel, "The digital transformation of healthcare," Journal of Clinical Investigation, vol. 129, no. 8, pp. 3012--3013, 2019.</w:t>
      </w:r>
    </w:p>
    <w:p>
      <w:pPr>
        <w:spacing w:after="80"/>
        <w:ind w:left="360" w:hanging="360"/>
      </w:pPr>
      <w:r>
        <w:rPr>
          <w:b/>
          <w:color w:val="1B4D3E"/>
          <w:sz w:val="19"/>
        </w:rPr>
        <w:t xml:space="preserve">[3] </w:t>
      </w:r>
      <w:r>
        <w:rPr>
          <w:sz w:val="19"/>
        </w:rPr>
        <w:t>A. L. L'Heureux et al., "Machine Learning with Big Data: Challenges and Approaches," IEEE Access, vol. 5, pp. 7776--7797, 2017.</w:t>
      </w:r>
    </w:p>
    <w:p>
      <w:pPr>
        <w:spacing w:after="80"/>
        <w:ind w:left="360" w:hanging="360"/>
      </w:pPr>
      <w:r>
        <w:rPr>
          <w:b/>
          <w:color w:val="1B4D3E"/>
          <w:sz w:val="19"/>
        </w:rPr>
        <w:t xml:space="preserve">[4] </w:t>
      </w:r>
      <w:r>
        <w:rPr>
          <w:sz w:val="19"/>
        </w:rPr>
        <w:t>J. Devlin et al., "BERT: Pre-training of Deep Bidirectional Transformers for Language Understanding," arXiv preprint arXiv:1810.04805, 2018.</w:t>
      </w:r>
    </w:p>
    <w:p>
      <w:pPr>
        <w:spacing w:after="80"/>
        <w:ind w:left="360" w:hanging="360"/>
      </w:pPr>
      <w:r>
        <w:rPr>
          <w:b/>
          <w:color w:val="1B4D3E"/>
          <w:sz w:val="19"/>
        </w:rPr>
        <w:t xml:space="preserve">[5] </w:t>
      </w:r>
      <w:r>
        <w:rPr>
          <w:sz w:val="19"/>
        </w:rPr>
        <w:t>A. Vaswani et al., "Attention is all you need," Advances in Neural Information Processing Systems, pp. 5998--6008, 2017.</w:t>
      </w:r>
    </w:p>
    <w:p>
      <w:pPr>
        <w:spacing w:after="80"/>
        <w:ind w:left="360" w:hanging="360"/>
      </w:pPr>
      <w:r>
        <w:rPr>
          <w:b/>
          <w:color w:val="1B4D3E"/>
          <w:sz w:val="19"/>
        </w:rPr>
        <w:t xml:space="preserve">[6] </w:t>
      </w:r>
      <w:r>
        <w:rPr>
          <w:sz w:val="19"/>
        </w:rPr>
        <w:t>J. Nielsen, Usability Engineering, Morgan Kaufmann, 1994.</w:t>
      </w:r>
    </w:p>
    <w:p>
      <w:pPr>
        <w:spacing w:after="80"/>
        <w:ind w:left="360" w:hanging="360"/>
      </w:pPr>
      <w:r>
        <w:rPr>
          <w:b/>
          <w:color w:val="1B4D3E"/>
          <w:sz w:val="19"/>
        </w:rPr>
        <w:t xml:space="preserve">[7] </w:t>
      </w:r>
      <w:r>
        <w:rPr>
          <w:sz w:val="19"/>
        </w:rPr>
        <w:t>E. Gamma et al., Design Patterns: Elements of Reusable Object-Oriented Software, Addison-Wesley, 1994.</w:t>
      </w:r>
    </w:p>
    <w:p>
      <w:pPr>
        <w:spacing w:after="80"/>
        <w:ind w:left="360" w:hanging="360"/>
      </w:pPr>
      <w:r>
        <w:rPr>
          <w:b/>
          <w:color w:val="1B4D3E"/>
          <w:sz w:val="19"/>
        </w:rPr>
        <w:t xml:space="preserve">[8] </w:t>
      </w:r>
      <w:r>
        <w:rPr>
          <w:sz w:val="19"/>
        </w:rPr>
        <w:t>T. Bray et al., "The JavaScript Object Notation (JSON) Data Interchange Format," RFC 8259, 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