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Нечеткое</w:t>
      </w:r>
      <w:r>
        <w:t xml:space="preserve"> </w:t>
      </w:r>
      <w:r>
        <w:t xml:space="preserve">моделирование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оценке</w:t>
      </w:r>
      <w:r>
        <w:t xml:space="preserve"> </w:t>
      </w:r>
      <w:r>
        <w:t xml:space="preserve">риска</w:t>
      </w:r>
      <w:r>
        <w:t xml:space="preserve"> </w:t>
      </w:r>
      <w:r>
        <w:t xml:space="preserve">здоровью</w:t>
      </w:r>
      <w:r>
        <w:t xml:space="preserve"> </w:t>
      </w:r>
      <w:r>
        <w:t xml:space="preserve">населения</w:t>
      </w:r>
      <w:r>
        <w:t xml:space="preserve"> </w:t>
      </w:r>
      <w:r>
        <w:t xml:space="preserve">от</w:t>
      </w:r>
      <w:r>
        <w:t xml:space="preserve"> </w:t>
      </w:r>
      <w:r>
        <w:t xml:space="preserve">загрязнения</w:t>
      </w:r>
      <w:r>
        <w:t xml:space="preserve"> </w:t>
      </w:r>
      <w:r>
        <w:t xml:space="preserve">ОС</w:t>
      </w:r>
    </w:p>
    <w:p>
      <w:pPr>
        <w:pStyle w:val="Author"/>
      </w:pPr>
      <w:r>
        <w:t xml:space="preserve">Кузьмин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Юрьевич,</w:t>
      </w:r>
      <w:r>
        <w:t xml:space="preserve"> </w:t>
      </w:r>
      <w:r>
        <w:t xml:space="preserve">группа</w:t>
      </w:r>
      <w:r>
        <w:t xml:space="preserve"> </w:t>
      </w:r>
      <w:r>
        <w:t xml:space="preserve">М610М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декабря</w:t>
      </w:r>
      <w:r>
        <w:t xml:space="preserve"> </w:t>
      </w:r>
      <w:r>
        <w:t xml:space="preserve">2017</w:t>
      </w:r>
      <w:r>
        <w:t xml:space="preserve"> </w:t>
      </w:r>
      <w:r>
        <w:t xml:space="preserve">года</w:t>
      </w:r>
    </w:p>
    <w:p>
      <w:pPr>
        <w:pStyle w:val="Heading2"/>
      </w:pPr>
      <w:bookmarkStart w:id="21" w:name="введение"/>
      <w:bookmarkEnd w:id="21"/>
      <w:r>
        <w:t xml:space="preserve">Введение</w:t>
      </w:r>
    </w:p>
    <w:p>
      <w:pPr>
        <w:pStyle w:val="Compact"/>
      </w:pPr>
      <w:r>
        <w:t xml:space="preserve">В атмосферный воздух, почву и водные объекты города поступает большое количество различных вредных веществ. Повсеместно выбрасываются такие вредные вещества, как пыль (взвешенные вещества), диоксид серы, диоксид азота, оксид углерода, которые принято называть основными, а также различные специфические вещества, выбрасываемые отдельными производствами, предприятиями, цехами.</w:t>
      </w:r>
    </w:p>
    <w:p>
      <w:pPr>
        <w:pStyle w:val="Compact"/>
      </w:pPr>
      <w:r>
        <w:t xml:space="preserve">Данные медицинской статистики развитых стран показывают, что в связи с ростом воздействия вредных факторов промышленного производства и загрязнения окружающей среды возрастает частота многих хронических патологических процессов: заболеваний органов дыхания, почек, хронических отравлений, аллергических процессов, злокачественных опухолей и болезней крови.[1]</w:t>
      </w:r>
    </w:p>
    <w:p>
      <w:pPr>
        <w:pStyle w:val="Compact"/>
      </w:pPr>
      <w:r>
        <w:t xml:space="preserve">Система медико-экологического регламентирования основана на предположении о том, что загрязнение окружающей среды создает опасность для здоровья человека. Основанием для этого служат, во-первых, многочисленные жалобы населения, проживающего в условиях загрязненной окружающей среды, на неприятные запахи, головные боли, общее плохое самочувствие и другие дискомфортные состояния; во-вторых, данные медицинской статистики, свидетельствующие о тенденции к росту заболеваемости на загрязненных территориях; в-третьих, данные специальных научных исследований, направленных на определение количественных характеристик связи между загрязнением окружающей среды и его влиянием на организм.</w:t>
      </w:r>
    </w:p>
    <w:p>
      <w:pPr>
        <w:pStyle w:val="Compact"/>
      </w:pPr>
      <w:r>
        <w:t xml:space="preserve">В связи с этим оценка риска здоровью человека, обусловленного загрязнением окружающей среды, является в настоящее время одной из важнейших медико-экологических проблем. важнейших медико-экологических проблем. Однако существует значительная неопределенность в определении понятия риска здоровью и установлении факта воздействия загрязняющих веществ на человека и его количественных характеристик.[2,3]</w:t>
      </w:r>
    </w:p>
    <w:p>
      <w:pPr>
        <w:pStyle w:val="Compact"/>
      </w:pPr>
      <w:r>
        <w:t xml:space="preserve">Поэтому для решения данной задачи предлагается использовать нечеткую логику и нечеткое моделлирование.</w:t>
      </w:r>
    </w:p>
    <w:p>
      <w:pPr>
        <w:pStyle w:val="Heading2"/>
      </w:pPr>
      <w:bookmarkStart w:id="22" w:name="-"/>
      <w:bookmarkEnd w:id="22"/>
      <w:r>
        <w:t xml:space="preserve">Методы исследования</w:t>
      </w:r>
    </w:p>
    <w:p>
      <w:pPr>
        <w:pStyle w:val="Compact"/>
      </w:pPr>
      <w:r>
        <w:t xml:space="preserve">Нечеткая модель — математическая модель, в основе вычисления которой лежит нечеткая логика. К построению таких моделей прибегают в случае, когда предмет исследования имеет очень слабую формализацию, и его точное математическое описание слишком сложное или просто не известно. Качество выходных значений этих моделей (погрешность модели) напрямую зависит только от эксперта, который составлял и настраивал модель. Для минимизации ошибки лучшим вариантом будет составление максимально полной и исчерпывающей модели и последующая ее настройка средствами машинного обучения на большой обучающей выборке.</w:t>
      </w:r>
    </w:p>
    <w:p>
      <w:pPr>
        <w:pStyle w:val="Compact"/>
      </w:pPr>
      <w:r>
        <w:t xml:space="preserve">Ход построения модели можно разделить на три основных этапа:</w:t>
      </w:r>
    </w:p>
    <w:p>
      <w:pPr>
        <w:pStyle w:val="Compact"/>
        <w:numPr>
          <w:numId w:val="1001"/>
          <w:ilvl w:val="0"/>
        </w:numPr>
      </w:pPr>
      <w:r>
        <w:t xml:space="preserve">Определение входных и выходных параметров модели;</w:t>
      </w:r>
    </w:p>
    <w:p>
      <w:pPr>
        <w:pStyle w:val="Compact"/>
        <w:numPr>
          <w:numId w:val="1001"/>
          <w:ilvl w:val="0"/>
        </w:numPr>
      </w:pPr>
      <w:r>
        <w:t xml:space="preserve">Построение базы знаний;</w:t>
      </w:r>
    </w:p>
    <w:p>
      <w:pPr>
        <w:pStyle w:val="Compact"/>
        <w:numPr>
          <w:numId w:val="1001"/>
          <w:ilvl w:val="0"/>
        </w:numPr>
      </w:pPr>
      <w:r>
        <w:t xml:space="preserve">Выбор одного из методов нечеткого логического вывода.</w:t>
      </w:r>
    </w:p>
    <w:p>
      <w:pPr>
        <w:pStyle w:val="Compact"/>
      </w:pPr>
      <w:r>
        <w:t xml:space="preserve">От первого этапа непосредственно зависят два других, и именно он определяет будущее функционирование модели. База знаний или, как по-другому ее называют, база правил — это совокупность нечетких правил вида:</w:t>
      </w:r>
      <w:r>
        <w:t xml:space="preserve"> </w:t>
      </w:r>
      <w:r>
        <w:t xml:space="preserve">“</w:t>
      </w:r>
      <w:r>
        <w:t xml:space="preserve">если, то</w:t>
      </w:r>
      <w:r>
        <w:t xml:space="preserve">”</w:t>
      </w:r>
      <w:r>
        <w:t xml:space="preserve">, определяющих взаимосвязь между входами и выходами исследуемого объекта. Количество правил в системе не ограниченно и также определяется экспертом. Обобщенный формат нечетких правил такой:</w:t>
      </w:r>
    </w:p>
    <w:p>
      <w:pPr>
        <w:pStyle w:val="BodyText"/>
      </w:pPr>
      <m:oMathPara>
        <m:oMathParaPr>
          <m:jc m:val="center"/>
        </m:oMathParaPr>
        <m:oMath>
          <m:r>
            <m:t>Е</m:t>
          </m:r>
          <m:r>
            <m:t>С</m:t>
          </m:r>
          <m:r>
            <m:t>Л</m:t>
          </m:r>
          <m:r>
            <m:t>И</m:t>
          </m:r>
          <m:r>
            <m:t> </m:t>
          </m:r>
          <m:r>
            <m:t> </m:t>
          </m:r>
          <m:r>
            <m:t>|</m:t>
          </m:r>
          <m:r>
            <m:t>у</m:t>
          </m:r>
          <m:r>
            <m:t>с</m:t>
          </m:r>
          <m:r>
            <m:t>л</m:t>
          </m:r>
          <m:r>
            <m:t>о</m:t>
          </m:r>
          <m:r>
            <m:t>в</m:t>
          </m:r>
          <m:r>
            <m:t>и</m:t>
          </m:r>
          <m:r>
            <m:t>е</m:t>
          </m:r>
          <m:r>
            <m:t>(</m:t>
          </m:r>
          <m:r>
            <m:t>п</m:t>
          </m:r>
          <m:r>
            <m:t>о</m:t>
          </m:r>
          <m:r>
            <m:t>с</m:t>
          </m:r>
          <m:r>
            <m:t>ы</m:t>
          </m:r>
          <m:r>
            <m:t>л</m:t>
          </m:r>
          <m:r>
            <m:t>к</m:t>
          </m:r>
          <m:r>
            <m:t>а</m:t>
          </m:r>
          <m:r>
            <m:t>)</m:t>
          </m:r>
          <m:r>
            <m:t> </m:t>
          </m:r>
          <m:r>
            <m:t>п</m:t>
          </m:r>
          <m:r>
            <m:t>р</m:t>
          </m:r>
          <m:r>
            <m:t>а</m:t>
          </m:r>
          <m:r>
            <m:t>в</m:t>
          </m:r>
          <m:r>
            <m:t>и</m:t>
          </m:r>
          <m:r>
            <m:t>л</m:t>
          </m:r>
          <m:r>
            <m:t>а</m:t>
          </m:r>
          <m:r>
            <m:t>|</m:t>
          </m:r>
          <m:r>
            <m:t>,</m:t>
          </m:r>
          <m:r>
            <m:t> </m:t>
          </m:r>
          <m:r>
            <m:t>Т</m:t>
          </m:r>
          <m:r>
            <m:t>О</m:t>
          </m:r>
          <m:r>
            <m:t> </m:t>
          </m:r>
          <m:r>
            <m:t> </m:t>
          </m:r>
          <m:r>
            <m:t>|</m:t>
          </m:r>
          <m:r>
            <m:t>з</m:t>
          </m:r>
          <m:r>
            <m:t>а</m:t>
          </m:r>
          <m:r>
            <m:t>к</m:t>
          </m:r>
          <m:r>
            <m:t>л</m:t>
          </m:r>
          <m:r>
            <m:t>ю</m:t>
          </m:r>
          <m:r>
            <m:t>ч</m:t>
          </m:r>
          <m:r>
            <m:t>е</m:t>
          </m:r>
          <m:r>
            <m:t>н</m:t>
          </m:r>
          <m:r>
            <m:t>и</m:t>
          </m:r>
          <m:r>
            <m:t>е</m:t>
          </m:r>
          <m:r>
            <m:t> </m:t>
          </m:r>
          <m:r>
            <m:t>п</m:t>
          </m:r>
          <m:r>
            <m:t>р</m:t>
          </m:r>
          <m:r>
            <m:t>а</m:t>
          </m:r>
          <m:r>
            <m:t>в</m:t>
          </m:r>
          <m:r>
            <m:t>и</m:t>
          </m:r>
          <m:r>
            <m:t>л</m:t>
          </m:r>
          <m:r>
            <m:t>а</m:t>
          </m:r>
          <m:r>
            <m:t>|</m:t>
          </m:r>
        </m:oMath>
      </m:oMathPara>
    </w:p>
    <w:p>
      <w:pPr>
        <w:pStyle w:val="Compact"/>
      </w:pPr>
      <w:r>
        <w:t xml:space="preserve">Условие правила характеризует текущее состояние объекта, а заключение — то, как это условие повлияет на объект. Общий вид условий и заключений нельзя выделить, так как они определяются нечетким логическим выводом.</w:t>
      </w:r>
    </w:p>
    <w:p>
      <w:pPr>
        <w:pStyle w:val="Compact"/>
      </w:pPr>
      <w:r>
        <w:t xml:space="preserve">Каждое правило в системе имеет вес — данный параметр характеризует значимость правила в модели. Весовые коэффициенты присваиваются правилу в диапазоне [0, 1]. Во многих примерах нечетких моделей, которые можно встретить в литературе, данные веса не указаны, но это не означает, что их нет, в действительности для каждого правила из базы в таком случае вес фиксирован и равен единице. Условия и заключения для каждого правила могут быть двух видов:</w:t>
      </w:r>
    </w:p>
    <w:p>
      <w:pPr>
        <w:pStyle w:val="Compact"/>
        <w:numPr>
          <w:numId w:val="1002"/>
          <w:ilvl w:val="0"/>
        </w:numPr>
      </w:pPr>
      <w:r>
        <w:t xml:space="preserve">простое — в нем участвует одна нечеткая переменная;</w:t>
      </w:r>
    </w:p>
    <w:p>
      <w:pPr>
        <w:pStyle w:val="Compact"/>
        <w:numPr>
          <w:numId w:val="1002"/>
          <w:ilvl w:val="0"/>
        </w:numPr>
      </w:pPr>
      <w:r>
        <w:t xml:space="preserve">составное — участвуют несколько нечетких переменных.</w:t>
      </w:r>
    </w:p>
    <w:p>
      <w:pPr>
        <w:pStyle w:val="Compact"/>
      </w:pPr>
      <w:r>
        <w:t xml:space="preserve">В зависимости от созданной базы знаний для модели определяется система нечеткого логического вывода. Нечетким логическим выводом называется получение заключения в виде нечеткого множества, соответствующего текущим значениях входов, с использованием нечеткой базы знаний и нечетких операций. Двумя основными типами нечеткого логического вывода являются Мамдани и Сугено.</w:t>
      </w:r>
    </w:p>
    <w:p>
      <w:pPr>
        <w:pStyle w:val="Compact"/>
      </w:pPr>
      <w:r>
        <w:t xml:space="preserve">Нечеткий логический вывод по алгоритму Мамдани выполняется по нечеткой базе знаний: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f</m:t>
          </m:r>
          <m:r>
            <m:t> 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 </m:t>
          </m:r>
          <m:r>
            <m:t>i</m:t>
          </m:r>
          <m:r>
            <m:t>s</m:t>
          </m:r>
          <m:r>
            <m:t> </m:t>
          </m:r>
          <m:sSub>
            <m:e>
              <m:r>
                <m:t>a</m:t>
              </m:r>
            </m:e>
            <m:sub>
              <m:r>
                <m:t>m</m:t>
              </m:r>
              <m:r>
                <m:t>,</m:t>
              </m:r>
              <m:r>
                <m:t>1</m:t>
              </m:r>
            </m:sub>
          </m:sSub>
          <m:r>
            <m:t>)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r>
            <m:t>(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 </m:t>
          </m:r>
          <m:r>
            <m:t>i</m:t>
          </m:r>
          <m:r>
            <m:t>s</m:t>
          </m:r>
          <m:r>
            <m:t> </m:t>
          </m:r>
          <m:sSub>
            <m:e>
              <m:r>
                <m:t>a</m:t>
              </m:r>
            </m:e>
            <m:sub>
              <m:r>
                <m:t>m</m:t>
              </m:r>
              <m:r>
                <m:t>,</m:t>
              </m:r>
              <m:r>
                <m:t>2</m:t>
              </m:r>
            </m:sub>
          </m:sSub>
          <m:r>
            <m:t>)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r>
            <m:t>.</m:t>
          </m:r>
          <m:r>
            <m:t>.</m:t>
          </m:r>
          <m:r>
            <m:t>.</m:t>
          </m:r>
          <m:r>
            <m:t> </m:t>
          </m:r>
          <m:r>
            <m:t>a</m:t>
          </m:r>
          <m:r>
            <m:t>n</m:t>
          </m:r>
          <m:r>
            <m:t>d</m:t>
          </m:r>
          <m:r>
            <m:t> </m:t>
          </m:r>
          <m:r>
            <m:t>(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 </m:t>
          </m:r>
          <m:r>
            <m:t>i</m:t>
          </m:r>
          <m:r>
            <m:t>s</m:t>
          </m:r>
          <m:r>
            <m:t> </m:t>
          </m:r>
          <m:sSub>
            <m:e>
              <m:r>
                <m:t>a</m:t>
              </m:r>
            </m:e>
            <m:sub>
              <m:r>
                <m:t>m</m:t>
              </m:r>
              <m:r>
                <m:t>,</m:t>
              </m:r>
              <m:r>
                <m:t>n</m:t>
              </m:r>
            </m:sub>
          </m:sSub>
          <m:r>
            <m:t>)</m:t>
          </m:r>
          <m:r>
            <m:t> </m:t>
          </m:r>
          <m:r>
            <m:t>t</m:t>
          </m:r>
          <m:r>
            <m:t>h</m:t>
          </m:r>
          <m:r>
            <m:t>e</m:t>
          </m:r>
          <m:r>
            <m:t>n</m:t>
          </m:r>
          <m:r>
            <m:t> </m:t>
          </m:r>
          <m:r>
            <m:t>(</m:t>
          </m:r>
          <m:r>
            <m:t>Y</m:t>
          </m:r>
          <m:r>
            <m:t> </m:t>
          </m:r>
          <m:r>
            <m:t>i</m:t>
          </m:r>
          <m:r>
            <m:t>s</m:t>
          </m:r>
          <m:r>
            <m:t> </m:t>
          </m:r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t>)</m:t>
          </m:r>
          <m:r>
            <m:t>(</m:t>
          </m:r>
          <m:sSub>
            <m:e>
              <m:r>
                <m:t>W</m:t>
              </m:r>
            </m:e>
            <m:sub>
              <m:r>
                <m:t>m</m:t>
              </m:r>
            </m:sub>
          </m:sSub>
          <m:r>
            <m:t>)</m:t>
          </m:r>
        </m:oMath>
      </m:oMathPara>
    </w:p>
    <w:p>
      <w:pPr>
        <w:pStyle w:val="Compact"/>
      </w:pPr>
      <w:r>
        <w:t xml:space="preserve">Значения входных и выходной переменной в ней заданы нечеткими множествами.</w:t>
      </w:r>
    </w:p>
    <w:p>
      <w:pPr>
        <w:pStyle w:val="Compact"/>
      </w:pPr>
      <w:r>
        <w:t xml:space="preserve">Эту базу также можно записать как:</w:t>
      </w:r>
    </w:p>
    <w:p>
      <w:pPr>
        <w:pStyle w:val="Compact"/>
      </w:pPr>
      <m:oMathPara>
        <m:oMathParaPr>
          <m:jc m:val="center"/>
        </m:oMathParaPr>
        <m:oMath>
          <m:limLow>
            <m:e>
              <m:limUpp>
                <m:e>
                  <m:r>
                    <m:t>∩</m:t>
                  </m:r>
                </m:e>
                <m:lim>
                  <m:r>
                    <m:t>m</m:t>
                  </m:r>
                </m:lim>
              </m:limUpp>
            </m:e>
            <m:lim>
              <m:r>
                <m:t>j</m:t>
              </m:r>
              <m:r>
                <m:t>=</m:t>
              </m:r>
              <m:r>
                <m:t>1</m:t>
              </m:r>
            </m:lim>
          </m:limLow>
          <m:r>
            <m:t> </m:t>
          </m:r>
          <m:r>
            <m:t>(</m:t>
          </m:r>
          <m:limLow>
            <m:e>
              <m:limUpp>
                <m:e>
                  <m:r>
                    <m:t>∩</m:t>
                  </m:r>
                </m:e>
                <m:lim>
                  <m:r>
                    <m:t>n</m:t>
                  </m:r>
                </m:lim>
              </m:limUpp>
            </m:e>
            <m:lim>
              <m:r>
                <m:t>i</m:t>
              </m:r>
              <m:r>
                <m:t>=</m:t>
              </m:r>
              <m:r>
                <m:t>1</m:t>
              </m:r>
            </m:lim>
          </m:limLow>
          <m:r>
            <m:t> 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 </m:t>
          </m:r>
          <m:r>
            <m:t>=</m:t>
          </m:r>
          <m:r>
            <m:t> </m:t>
          </m:r>
          <m:sSub>
            <m:e>
              <m:r>
                <m:t>a</m:t>
              </m: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</m:sSub>
          <m:r>
            <m:t> </m:t>
          </m:r>
          <m:r>
            <m:t>w</m:t>
          </m:r>
          <m:r>
            <m:t>i</m:t>
          </m:r>
          <m:r>
            <m:t>t</m:t>
          </m:r>
          <m:r>
            <m:t>h</m:t>
          </m:r>
          <m:r>
            <m:t> </m:t>
          </m:r>
          <m:r>
            <m:t>w</m:t>
          </m:r>
          <m:r>
            <m:t>e</m:t>
          </m:r>
          <m:r>
            <m:t>i</m:t>
          </m:r>
          <m:r>
            <m:t>g</m:t>
          </m:r>
          <m:r>
            <m:t>h</m:t>
          </m:r>
          <m:r>
            <m:t>t</m:t>
          </m:r>
          <m:r>
            <m:t> </m:t>
          </m:r>
          <m:sSub>
            <m:e>
              <m:r>
                <m:t>W</m:t>
              </m:r>
            </m:e>
            <m:sub>
              <m:r>
                <m:t>j</m:t>
              </m:r>
            </m:sub>
          </m:sSub>
          <m:r>
            <m:t>)</m:t>
          </m:r>
          <m:r>
            <m:t>↦</m:t>
          </m:r>
          <m:r>
            <m:t> </m:t>
          </m:r>
          <m:r>
            <m:t>Y</m:t>
          </m:r>
          <m:r>
            <m:t> </m:t>
          </m:r>
          <m:r>
            <m:t>=</m:t>
          </m:r>
          <m:r>
            <m:t> </m:t>
          </m:r>
          <m:sSub>
            <m:e>
              <m:r>
                <m:t>d</m:t>
              </m:r>
            </m:e>
            <m:sub>
              <m:r>
                <m:t>j</m:t>
              </m:r>
            </m:sub>
          </m:sSub>
        </m:oMath>
      </m:oMathPara>
    </w:p>
    <w:p>
      <w:pPr>
        <w:pStyle w:val="Compact"/>
      </w:pPr>
      <w:r>
        <w:t xml:space="preserve">где:</w:t>
      </w:r>
    </w:p>
    <w:p>
      <w:pPr>
        <w:pStyle w:val="Compact"/>
        <w:numPr>
          <w:numId w:val="1003"/>
          <w:ilvl w:val="0"/>
        </w:numPr>
      </w:pPr>
      <m:oMath>
        <m:r>
          <m:t>X</m:t>
        </m:r>
        <m:r>
          <m:t>=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.</m:t>
        </m:r>
        <m:r>
          <m:t>.</m:t>
        </m:r>
        <m: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)</m:t>
        </m:r>
      </m:oMath>
      <w:r>
        <w:t xml:space="preserve"> </w:t>
      </w:r>
      <w:r>
        <w:t xml:space="preserve">— вектор входных переменных;</w:t>
      </w:r>
    </w:p>
    <w:p>
      <w:pPr>
        <w:pStyle w:val="Compact"/>
        <w:numPr>
          <w:numId w:val="1003"/>
          <w:ilvl w:val="0"/>
        </w:numPr>
      </w:pPr>
      <m:oMath>
        <m:r>
          <m:t>Y</m:t>
        </m:r>
      </m:oMath>
      <w:r>
        <w:t xml:space="preserve">— выходная переменная;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t>a</m:t>
            </m:r>
          </m:e>
          <m:sub>
            <m:r>
              <m:t>j</m:t>
            </m:r>
          </m:sub>
        </m:sSub>
        <m:r>
          <m:t>=</m:t>
        </m:r>
        <m:r>
          <m:t>(</m:t>
        </m:r>
        <m:sSub>
          <m:e>
            <m:r>
              <m:t>a</m:t>
            </m:r>
          </m:e>
          <m:sub>
            <m:r>
              <m:t>j</m:t>
            </m:r>
            <m:r>
              <m:t>,</m:t>
            </m:r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j</m:t>
            </m:r>
            <m:r>
              <m:t>,</m:t>
            </m:r>
            <m:r>
              <m:t>2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j</m:t>
            </m:r>
            <m:r>
              <m:t>,</m:t>
            </m:r>
            <m:r>
              <m:t>3</m:t>
            </m:r>
          </m:sub>
        </m:sSub>
        <m:r>
          <m:t>.</m:t>
        </m:r>
        <m:r>
          <m:t>.</m:t>
        </m:r>
        <m:r>
          <m:t>.</m:t>
        </m:r>
        <m:sSub>
          <m:e>
            <m:r>
              <m:t>a</m:t>
            </m:r>
          </m:e>
          <m:sub>
            <m:r>
              <m:t>j</m:t>
            </m:r>
            <m:r>
              <m:t>,</m:t>
            </m:r>
            <m:r>
              <m:t>n</m:t>
            </m:r>
          </m:sub>
        </m:sSub>
        <m:r>
          <m:t>)</m:t>
        </m:r>
      </m:oMath>
      <w:r>
        <w:t xml:space="preserve">— вектор значений входных переменных в</w:t>
      </w:r>
      <w:r>
        <w:t xml:space="preserve"> </w:t>
      </w:r>
      <m:oMath>
        <m:r>
          <m:t>j</m:t>
        </m:r>
      </m:oMath>
      <w:r>
        <w:t xml:space="preserve">-м правиле,</w:t>
      </w:r>
      <w:r>
        <w:t xml:space="preserve"> </w:t>
      </w:r>
      <m:oMath>
        <m:r>
          <m:t>j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.</m:t>
        </m:r>
        <m:r>
          <m:t>.</m:t>
        </m:r>
        <m:r>
          <m:t>.</m:t>
        </m:r>
        <m:r>
          <m:t>m</m:t>
        </m:r>
      </m:oMath>
      <w:r>
        <w:t xml:space="preserve">;</w:t>
      </w:r>
    </w:p>
    <w:p>
      <w:pPr>
        <w:pStyle w:val="Compact"/>
        <w:numPr>
          <w:numId w:val="1003"/>
          <w:ilvl w:val="0"/>
        </w:numPr>
      </w:pPr>
      <m:oMath>
        <m:r>
          <m:t>d</m:t>
        </m:r>
        <m:r>
          <m:t>=</m:t>
        </m:r>
        <m:r>
          <m:t>(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d</m:t>
            </m:r>
          </m:e>
          <m:sub>
            <m:r>
              <m:t>3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d</m:t>
            </m:r>
          </m:e>
          <m:sub>
            <m:r>
              <m:t>m</m:t>
            </m:r>
          </m:sub>
        </m:sSub>
        <m:r>
          <m:t>)</m:t>
        </m:r>
      </m:oMath>
      <w:r>
        <w:t xml:space="preserve">— вектор значений выходной переменной;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t>W</m:t>
            </m:r>
          </m:e>
          <m:sub>
            <m:r>
              <m:t>j</m:t>
            </m:r>
          </m:sub>
        </m:sSub>
      </m:oMath>
      <w:r>
        <w:t xml:space="preserve">— вес j-го правила,</w:t>
      </w:r>
      <w:r>
        <w:t xml:space="preserve"> </w:t>
      </w:r>
      <m:oMath>
        <m:r>
          <m:t>j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.</m:t>
        </m:r>
        <m:r>
          <m:t>.</m:t>
        </m:r>
        <m:r>
          <m:t>.</m:t>
        </m:r>
        <m:r>
          <m:t>m</m:t>
        </m:r>
      </m:oMath>
      <w:r>
        <w:t xml:space="preserve">.</w:t>
      </w:r>
    </w:p>
    <w:p>
      <w:pPr>
        <w:pStyle w:val="Compact"/>
      </w:pPr>
      <w:r>
        <w:t xml:space="preserve">Введем новое обозначение:</w:t>
      </w:r>
      <w:r>
        <w:t xml:space="preserve"> </w:t>
      </w:r>
      <m:oMath>
        <m:sSub>
          <m:e>
            <m:r>
              <m:t>μ</m:t>
            </m:r>
          </m:e>
          <m:sub>
            <m:r>
              <m:t>t</m:t>
            </m:r>
          </m:sub>
        </m:sSub>
        <m:r>
          <m:t>(</m:t>
        </m:r>
        <m:r>
          <m:t>v</m:t>
        </m:r>
        <m:r>
          <m:t>)</m:t>
        </m:r>
      </m:oMath>
      <w:r>
        <w:t xml:space="preserve">— функция принадлежности входной или выходной нечеткой переменной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нечеткому терму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Compact"/>
      </w:pPr>
      <w:r>
        <w:t xml:space="preserve">Степени принадлежности входного вектора нечетким термам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из базы знаний рассчитываются следующим образом:</w:t>
      </w:r>
    </w:p>
    <w:p>
      <w:pPr>
        <w:pStyle w:val="Compact"/>
      </w:pPr>
      <m:oMath>
        <m:sSubSup>
          <m:e>
            <m:r>
              <m:t>μ</m:t>
            </m:r>
          </m:e>
          <m:sub>
            <m:r>
              <m:t>j</m:t>
            </m:r>
          </m:sub>
          <m:sup>
            <m:r>
              <m:t>m</m:t>
            </m:r>
          </m:sup>
        </m:sSubSup>
        <m:r>
          <m:t>(</m:t>
        </m:r>
        <m:r>
          <m:t>X</m:t>
        </m:r>
        <m:r>
          <m:t>)</m:t>
        </m:r>
        <m:r>
          <m:t> </m:t>
        </m:r>
        <m:r>
          <m:t>=</m:t>
        </m:r>
        <m:sSubSup>
          <m:e>
            <m:r>
              <m:t>∨</m:t>
            </m:r>
          </m:e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</m:sSubSup>
        <m:sSub>
          <m:e>
            <m:r>
              <m:t>W</m:t>
            </m:r>
          </m:e>
          <m:sub>
            <m:r>
              <m:t>j</m:t>
            </m:r>
          </m:sub>
        </m:sSub>
        <m:r>
          <m:t> </m:t>
        </m:r>
        <m:r>
          <m:t>.</m:t>
        </m:r>
        <m:r>
          <m:t> </m:t>
        </m:r>
        <m:sSubSup>
          <m:e>
            <m:r>
              <m:t>∧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  <m:r>
          <m:t>[</m:t>
        </m:r>
        <m:sSub>
          <m:e>
            <m:r>
              <m:t>μ</m:t>
            </m:r>
          </m:e>
          <m:sub>
            <m:sSub>
              <m:e>
                <m:r>
                  <m:t>a</m:t>
                </m:r>
              </m:e>
              <m:sub>
                <m:r>
                  <m:t>j</m:t>
                </m:r>
                <m:r>
                  <m:t>,</m:t>
                </m:r>
                <m:r>
                  <m:t>i</m:t>
                </m:r>
              </m:sub>
            </m:sSub>
          </m:sub>
        </m:sSub>
        <m:r>
          <m:t> 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]</m:t>
        </m:r>
      </m:oMath>
      <w:r>
        <w:t xml:space="preserve"> </w:t>
      </w:r>
      <w:r>
        <w:t xml:space="preserve">— данная функция будет характеризовать результат работы j-го правила из базы знаний;</w:t>
      </w:r>
    </w:p>
    <w:p>
      <w:pPr>
        <w:pStyle w:val="Compact"/>
      </w:pPr>
      <w:r>
        <w:t xml:space="preserve">где</w:t>
      </w:r>
      <w:r>
        <w:t xml:space="preserve"> </w:t>
      </w:r>
      <m:oMath>
        <m:r>
          <m:t>∨</m:t>
        </m:r>
        <m:r>
          <m:t>(</m:t>
        </m:r>
        <m:r>
          <m:t>∧</m:t>
        </m:r>
        <m:r>
          <m:t>)</m:t>
        </m:r>
      </m:oMath>
      <w:r>
        <w:t xml:space="preserve">— операция из</w:t>
      </w:r>
      <w:r>
        <w:t xml:space="preserve"> </w:t>
      </w:r>
      <m:oMath>
        <m:r>
          <m:t>s</m:t>
        </m:r>
      </m:oMath>
      <w:r>
        <w:t xml:space="preserve">-нормы (</w:t>
      </w:r>
      <m:oMath>
        <m:r>
          <m:t>t</m:t>
        </m:r>
      </m:oMath>
      <w:r>
        <w:t xml:space="preserve">-нормы), т.е. из множества реализаций логической операции</w:t>
      </w:r>
      <w:r>
        <w:t xml:space="preserve"> </w:t>
      </w:r>
      <m:oMath>
        <m:r>
          <m:t>И</m:t>
        </m:r>
        <m:r>
          <m:t>Л</m:t>
        </m:r>
        <m:r>
          <m:t>И</m:t>
        </m:r>
        <m:r>
          <m:t> </m:t>
        </m:r>
        <m:r>
          <m:t>(</m:t>
        </m:r>
        <m:r>
          <m:t>И</m:t>
        </m:r>
        <m:r>
          <m:t>)</m:t>
        </m:r>
      </m:oMath>
      <w:r>
        <w:t xml:space="preserve">. Наиболее часто используются следующие реализации: для операции ИЛИ — нахождение максимума и для операции</w:t>
      </w:r>
      <w:r>
        <w:t xml:space="preserve"> </w:t>
      </w:r>
      <m:oMath>
        <m:r>
          <m:t>И</m:t>
        </m:r>
      </m:oMath>
      <w:r>
        <w:t xml:space="preserve"> </w:t>
      </w:r>
      <w:r>
        <w:t xml:space="preserve">— нахождение минимума.</w:t>
      </w:r>
    </w:p>
    <w:p>
      <w:pPr>
        <w:pStyle w:val="Compact"/>
      </w:pPr>
      <w:r>
        <w:t xml:space="preserve">После нахождения</w:t>
      </w:r>
      <w:r>
        <w:t xml:space="preserve"> </w:t>
      </w:r>
      <m:oMath>
        <m:sSub>
          <m:e>
            <m:r>
              <m:t>μ</m:t>
            </m:r>
          </m:e>
          <m:sub>
            <m:sSub>
              <m:e>
                <m:r>
                  <m:t>d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для</w:t>
      </w:r>
      <w:r>
        <w:t xml:space="preserve"> </w:t>
      </w:r>
      <m:oMath>
        <m:nary>
          <m:naryPr>
            <m:chr m:val="∀"/>
            <m:limLoc m:val="subSup"/>
            <m:subHide m:val="0"/>
            <m:supHide m:val="1"/>
          </m:naryPr>
          <m:sub>
            <m:r>
              <m:t>j</m:t>
            </m:r>
          </m:sub>
          <m:sup/>
          <m:e/>
        </m:nary>
      </m:oMath>
      <w:r>
        <w:t xml:space="preserve"> </w:t>
      </w:r>
      <w:r>
        <w:t xml:space="preserve">мы получим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новых функций принадлежности, которые в совокупности будут образовывать новое нечеткое множество, обозначим его</w:t>
      </w:r>
      <w:r>
        <w:t xml:space="preserve"> </w:t>
      </w:r>
      <w:r>
        <w:t xml:space="preserve">, соответствующее входному вектору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̃"/>
              <m:pos m:val="top"/>
              <m:vertJc m:val="bot"/>
            </m:groupChrPr>
            <m:e>
              <m:r>
                <m:t>Y</m:t>
              </m:r>
            </m:e>
          </m:groupChr>
          <m:r>
            <m:t> </m:t>
          </m:r>
          <m:r>
            <m:t>=</m:t>
          </m:r>
          <m:r>
            <m:t> </m:t>
          </m:r>
          <m:f>
            <m:fPr>
              <m:type m:val="bar"/>
            </m:fPr>
            <m:num>
              <m:sSub>
                <m:e>
                  <m:r>
                    <m:t>μ</m:t>
                  </m:r>
                </m:e>
                <m:sub>
                  <m:sSub>
                    <m:e>
                      <m:r>
                        <m:t>d</m:t>
                      </m:r>
                    </m:e>
                    <m:sub>
                      <m:r>
                        <m:t>1</m:t>
                      </m:r>
                    </m:sub>
                  </m:sSub>
                </m:sub>
              </m:sSub>
              <m:r>
                <m:t>(</m:t>
              </m:r>
              <m:r>
                <m:t>X</m:t>
              </m:r>
              <m:r>
                <m:t>)</m:t>
              </m:r>
            </m:num>
            <m:den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 </m:t>
          </m:r>
          <m:r>
            <m:t>+</m:t>
          </m:r>
          <m:r>
            <m:t> </m:t>
          </m:r>
          <m:f>
            <m:fPr>
              <m:type m:val="bar"/>
            </m:fPr>
            <m:num>
              <m:sSub>
                <m:e>
                  <m:r>
                    <m:t>μ</m:t>
                  </m:r>
                </m:e>
                <m:sub>
                  <m:sSub>
                    <m:e>
                      <m:r>
                        <m:t>d</m:t>
                      </m:r>
                    </m:e>
                    <m:sub>
                      <m:r>
                        <m:t>2</m:t>
                      </m:r>
                    </m:sub>
                  </m:sSub>
                </m:sub>
              </m:sSub>
              <m:r>
                <m:t>(</m:t>
              </m:r>
              <m:r>
                <m:t>X</m:t>
              </m:r>
              <m:r>
                <m:t>)</m:t>
              </m:r>
            </m:num>
            <m:den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den>
          </m:f>
          <m:r>
            <m:t> </m:t>
          </m:r>
          <m:r>
            <m:t>+</m:t>
          </m:r>
          <m:r>
            <m:t> </m:t>
          </m:r>
          <m:r>
            <m:t>.</m:t>
          </m:r>
          <m:r>
            <m:t>.</m:t>
          </m:r>
          <m:r>
            <m:t>.</m:t>
          </m:r>
          <m:r>
            <m:t> </m:t>
          </m:r>
          <m:r>
            <m:t>+</m:t>
          </m:r>
          <m:r>
            <m:t> </m:t>
          </m:r>
          <m:f>
            <m:fPr>
              <m:type m:val="bar"/>
            </m:fPr>
            <m:num>
              <m:sSub>
                <m:e>
                  <m:r>
                    <m:t>μ</m:t>
                  </m:r>
                </m:e>
                <m:sub>
                  <m:sSub>
                    <m:e>
                      <m:r>
                        <m:t>d</m:t>
                      </m:r>
                    </m:e>
                    <m:sub>
                      <m:r>
                        <m:t>m</m:t>
                      </m:r>
                    </m:sub>
                  </m:sSub>
                </m:sub>
              </m:sSub>
              <m:r>
                <m:t>(</m:t>
              </m:r>
              <m:r>
                <m:t>X</m:t>
              </m:r>
              <m:r>
                <m:t>)</m:t>
              </m:r>
            </m:num>
            <m:den>
              <m:sSub>
                <m:e>
                  <m:r>
                    <m:t>d</m:t>
                  </m:r>
                </m:e>
                <m:sub>
                  <m:r>
                    <m:t>m</m:t>
                  </m:r>
                </m:sub>
              </m:sSub>
            </m:den>
          </m:f>
        </m:oMath>
      </m:oMathPara>
    </w:p>
    <w:p>
      <w:pPr>
        <w:pStyle w:val="Compact"/>
      </w:pPr>
      <w:r>
        <w:t xml:space="preserve">Особенностью этого нечеткого множества является то, что универсальным множеством для него является терм-множество выходной переменной.</w:t>
      </w:r>
    </w:p>
    <w:p>
      <w:pPr>
        <w:pStyle w:val="Compact"/>
      </w:pPr>
      <w:r>
        <w:t xml:space="preserve">Далее необходимо:</w:t>
      </w:r>
    </w:p>
    <w:p>
      <w:pPr>
        <w:pStyle w:val="Compact"/>
        <w:numPr>
          <w:numId w:val="1004"/>
          <w:ilvl w:val="0"/>
        </w:numPr>
      </w:pPr>
      <w:r>
        <w:t xml:space="preserve">“</w:t>
      </w:r>
      <w:r>
        <w:t xml:space="preserve">срезать</w:t>
      </w:r>
      <w:r>
        <w:t xml:space="preserve">”</w:t>
      </w:r>
      <w:r>
        <w:t xml:space="preserve"> </w:t>
      </w:r>
      <w:r>
        <w:t xml:space="preserve">функции принадлежности</w:t>
      </w:r>
      <w:r>
        <w:t xml:space="preserve"> </w:t>
      </w:r>
      <m:oMath>
        <m:sSub>
          <m:e>
            <m:r>
              <m:t>μ</m:t>
            </m:r>
          </m:e>
          <m:sub>
            <m:sSub>
              <m:e>
                <m:r>
                  <m:t>d</m:t>
                </m:r>
              </m:e>
              <m:sub>
                <m:r>
                  <m:t>j</m:t>
                </m:r>
              </m:sub>
            </m:sSub>
          </m:sub>
        </m:sSub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на уровне</w:t>
      </w:r>
      <w:r>
        <w:t xml:space="preserve"> </w:t>
      </w:r>
      <m:oMath>
        <m:sSub>
          <m:e>
            <m:r>
              <m:t>μ</m:t>
            </m:r>
          </m:e>
          <m:sub>
            <m:sSub>
              <m:e>
                <m:r>
                  <m:t>d</m:t>
                </m:r>
              </m:e>
              <m:sub>
                <m:r>
                  <m:t>j</m:t>
                </m:r>
              </m:sub>
            </m:sSub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;</w:t>
      </w:r>
    </w:p>
    <w:p>
      <w:pPr>
        <w:pStyle w:val="Compact"/>
        <w:numPr>
          <w:numId w:val="1004"/>
          <w:ilvl w:val="0"/>
        </w:numPr>
      </w:pPr>
      <w:r>
        <w:t xml:space="preserve">объединить полученные нечеткие множества.</w:t>
      </w:r>
    </w:p>
    <w:p>
      <w:pPr>
        <w:pStyle w:val="Compact"/>
      </w:pPr>
      <w:r>
        <w:t xml:space="preserve">Иными словами, используя термины нечеткой логики, произвести импликацию и агрегацию условий. Импликация моделируется двумя методами: нахождением минимума или произведения множеств, агрегация — нахождением максимума или суммы множеств.</w:t>
      </w:r>
    </w:p>
    <w:p>
      <w:pPr>
        <w:pStyle w:val="Compact"/>
      </w:pPr>
      <w:r>
        <w:t xml:space="preserve">После этого мы получим результирующее нечеткое множество, дефаззификация которого и даст нам точный выход системы.</w:t>
      </w:r>
    </w:p>
    <w:p>
      <w:pPr>
        <w:pStyle w:val="Compact"/>
      </w:pPr>
      <w:r>
        <w:t xml:space="preserve">Нечеткая модель анализирует различные параметры ОС, такие как:</w:t>
      </w:r>
    </w:p>
    <w:p>
      <w:pPr>
        <w:pStyle w:val="Compact"/>
        <w:numPr>
          <w:numId w:val="1005"/>
          <w:ilvl w:val="0"/>
        </w:numPr>
      </w:pPr>
      <w:r>
        <w:t xml:space="preserve">загрязнение атмосферного воздуха;</w:t>
      </w:r>
    </w:p>
    <w:p>
      <w:pPr>
        <w:pStyle w:val="Compact"/>
        <w:numPr>
          <w:numId w:val="1005"/>
          <w:ilvl w:val="0"/>
        </w:numPr>
      </w:pPr>
      <w:r>
        <w:t xml:space="preserve">загрязнение водных объектов;</w:t>
      </w:r>
    </w:p>
    <w:p>
      <w:pPr>
        <w:pStyle w:val="Compact"/>
        <w:numPr>
          <w:numId w:val="1005"/>
          <w:ilvl w:val="0"/>
        </w:numPr>
      </w:pPr>
      <w:r>
        <w:t xml:space="preserve">загрязнение почвы;</w:t>
      </w:r>
    </w:p>
    <w:p>
      <w:pPr>
        <w:pStyle w:val="Compact"/>
        <w:numPr>
          <w:numId w:val="1005"/>
          <w:ilvl w:val="0"/>
        </w:numPr>
      </w:pPr>
      <w:r>
        <w:t xml:space="preserve">шумовое загрязнение;</w:t>
      </w:r>
    </w:p>
    <w:p>
      <w:pPr>
        <w:pStyle w:val="Compact"/>
        <w:numPr>
          <w:numId w:val="1005"/>
          <w:ilvl w:val="0"/>
        </w:numPr>
      </w:pPr>
      <w:r>
        <w:t xml:space="preserve">электромагнитное воздействие.</w:t>
      </w:r>
    </w:p>
    <w:p>
      <w:pPr>
        <w:pStyle w:val="Compact"/>
      </w:pPr>
      <w:r>
        <w:t xml:space="preserve">Также существуют потенциально неизвестные параметры, которые могут повлиять на оценку, но которые трудно проанализировать:</w:t>
      </w:r>
    </w:p>
    <w:p>
      <w:pPr>
        <w:pStyle w:val="Compact"/>
        <w:numPr>
          <w:numId w:val="1006"/>
          <w:ilvl w:val="0"/>
        </w:numPr>
      </w:pPr>
      <w:r>
        <w:t xml:space="preserve">природные явления (грозы, ураганы, землетрясения и др.);</w:t>
      </w:r>
    </w:p>
    <w:p>
      <w:pPr>
        <w:pStyle w:val="Compact"/>
        <w:numPr>
          <w:numId w:val="1006"/>
          <w:ilvl w:val="0"/>
        </w:numPr>
      </w:pPr>
      <w:r>
        <w:t xml:space="preserve">генетическая особенность человека.</w:t>
      </w:r>
    </w:p>
    <w:p>
      <w:pPr>
        <w:pStyle w:val="Compact"/>
      </w:pPr>
      <w:r>
        <w:t xml:space="preserve">В результате воздействия таких факторов сложно оценить риск здоровью человека от загрязнения ОС.</w:t>
      </w:r>
      <w:r>
        <w:t xml:space="preserve"> </w:t>
      </w:r>
      <w:r>
        <w:t xml:space="preserve">К примеру все параметры ОС могут быть сильно загрязняны, но благодаря генетической особенности человек он может спокойно переносить данную экологическую ситуацию дольше чем человек у которого нет такой особенности.</w:t>
      </w:r>
    </w:p>
    <w:p>
      <w:pPr>
        <w:pStyle w:val="Heading2"/>
      </w:pPr>
      <w:bookmarkStart w:id="23" w:name="-"/>
      <w:bookmarkEnd w:id="23"/>
      <w:r>
        <w:t xml:space="preserve">Результаты работы</w:t>
      </w:r>
    </w:p>
    <w:p>
      <w:pPr>
        <w:pStyle w:val="Compact"/>
      </w:pPr>
      <w:r>
        <w:t xml:space="preserve">В результате работы была получена модель системы оценки риска здоровью населения от загрязнения ОС со следующими переменными (признаками):</w:t>
      </w:r>
    </w:p>
    <w:p>
      <w:pPr>
        <w:pStyle w:val="Compact"/>
        <w:numPr>
          <w:numId w:val="1007"/>
          <w:ilvl w:val="0"/>
        </w:numPr>
      </w:pPr>
      <w:r>
        <w:t xml:space="preserve">загрязнение атмосферного воздуха, в %. Признак означает степень загрязнения воздуха на определенной территории. Загрязнение ОТ 40 ДО 60 % будем считать нормальным, от 60 до 100 критическим, от 0 до 40 малым.</w:t>
      </w:r>
    </w:p>
    <w:p>
      <w:pPr>
        <w:pStyle w:val="Compact"/>
        <w:numPr>
          <w:numId w:val="1007"/>
          <w:ilvl w:val="0"/>
        </w:numPr>
      </w:pPr>
      <w:r>
        <w:t xml:space="preserve">загрязнение водных объектов, в %. Признак означает степень загрязнения водного объекта на определенной территории.Загрязнение от 30 до 70 % будем считать нормальным, от 70 до 100 критическим, от 0 до 30 малым.</w:t>
      </w:r>
    </w:p>
    <w:p>
      <w:pPr>
        <w:pStyle w:val="Compact"/>
        <w:numPr>
          <w:numId w:val="1007"/>
          <w:ilvl w:val="0"/>
        </w:numPr>
      </w:pPr>
      <w:r>
        <w:t xml:space="preserve">оценка риска здоровью, в %. Признак показывает степень риска проживания на данной территории для здоровья населения. Риск может быть малый, средний, большой.</w:t>
      </w:r>
    </w:p>
    <w:p>
      <w:pPr>
        <w:pStyle w:val="Compact"/>
      </w:pPr>
      <w:r>
        <w:t xml:space="preserve">Опишем правила для оценки риска здоровью населения:</w:t>
      </w:r>
    </w:p>
    <w:p>
      <w:pPr>
        <w:pStyle w:val="Compact"/>
        <w:numPr>
          <w:numId w:val="1008"/>
          <w:ilvl w:val="0"/>
        </w:numPr>
      </w:pPr>
      <w:r>
        <w:t xml:space="preserve">если загрязнение воздуха маленькое, то риск маленький;</w:t>
      </w:r>
    </w:p>
    <w:p>
      <w:pPr>
        <w:pStyle w:val="Compact"/>
        <w:numPr>
          <w:numId w:val="1008"/>
          <w:ilvl w:val="0"/>
        </w:numPr>
      </w:pPr>
      <w:r>
        <w:t xml:space="preserve">если загрязнение воздуха нормальное, то риск большой;</w:t>
      </w:r>
    </w:p>
    <w:p>
      <w:pPr>
        <w:pStyle w:val="Compact"/>
        <w:numPr>
          <w:numId w:val="1008"/>
          <w:ilvl w:val="0"/>
        </w:numPr>
      </w:pPr>
      <w:r>
        <w:t xml:space="preserve">если загрязнение воды нормальное, то риск средний;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если загрязнение воды маленькое, то риск маленький;</w:t>
      </w:r>
    </w:p>
    <w:p>
      <w:pPr>
        <w:pStyle w:val="Compact"/>
        <w:numPr>
          <w:numId w:val="1008"/>
          <w:ilvl w:val="0"/>
        </w:numPr>
      </w:pPr>
      <w:r>
        <w:t xml:space="preserve">если загрязнение воды нормальное, то риск большой;</w:t>
      </w:r>
    </w:p>
    <w:p>
      <w:pPr>
        <w:pStyle w:val="Compact"/>
        <w:numPr>
          <w:numId w:val="1008"/>
          <w:ilvl w:val="0"/>
        </w:numPr>
      </w:pPr>
      <w:r>
        <w:t xml:space="preserve">если загрязнение воды нормальное и загрязнение воздуха нормальное, то риск средний.</w:t>
      </w:r>
    </w:p>
    <w:p>
      <w:pPr>
        <w:pStyle w:val="Compact"/>
      </w:pPr>
      <w:r>
        <w:t xml:space="preserve">Для проверки работы системы были заданы исходные значения:</w:t>
      </w:r>
    </w:p>
    <w:p>
      <w:pPr>
        <w:pStyle w:val="Compact"/>
        <w:numPr>
          <w:numId w:val="1009"/>
          <w:ilvl w:val="0"/>
        </w:numPr>
      </w:pPr>
      <w:r>
        <w:t xml:space="preserve">загрязнение воздуха – 20 %;</w:t>
      </w:r>
    </w:p>
    <w:p>
      <w:pPr>
        <w:pStyle w:val="Compact"/>
        <w:numPr>
          <w:numId w:val="1009"/>
          <w:ilvl w:val="0"/>
        </w:numPr>
      </w:pPr>
      <w:r>
        <w:t xml:space="preserve">загрязнение воды – 95%.</w:t>
      </w:r>
    </w:p>
    <w:p>
      <w:pPr>
        <w:pStyle w:val="Compact"/>
      </w:pPr>
      <w:r>
        <w:t xml:space="preserve">На рисунке 1 представлен результат работы модели.</w:t>
      </w:r>
    </w:p>
    <w:p>
      <w:pPr>
        <w:pStyle w:val="SourceCode"/>
      </w:pPr>
      <w:r>
        <w:rPr>
          <w:rStyle w:val="VerbatimChar"/>
        </w:rPr>
        <w:t xml:space="preserve">## A generalized set with cardinality 441.917.</w:t>
      </w:r>
    </w:p>
    <w:p>
      <w:pPr>
        <w:pStyle w:val="Compac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Кузьмин_-_проект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Рис. 1 – Результат работы модели. На верхних и первом нижнем графике показаны функций принадлежности лингвистических переменных для признаков системы, четвертый – график кривой функции принадлежности, соответствующей выходной лингвистической переменной.</w:t>
      </w:r>
    </w:p>
    <w:p>
      <w:pPr>
        <w:pStyle w:val="Compact"/>
      </w:pPr>
      <w:r>
        <w:t xml:space="preserve">Однако для того чтобы выдать управленческое решение необходимо знать точное значение состояния атмосферного воздуха. Для этого проведем дефаззификацию, под которой в системах нечеткого вывода понимают процесс перехода от функции принадлежности выходной лингвистической переменной к её четкому (числовому) значению. Дефазификация проводится методом центра тяжести.</w:t>
      </w:r>
    </w:p>
    <w:p>
      <w:pPr>
        <w:pStyle w:val="SourceCode"/>
      </w:pPr>
      <w:r>
        <w:rPr>
          <w:rStyle w:val="VerbatimChar"/>
        </w:rPr>
        <w:t xml:space="preserve">## [1] 53.83102</w:t>
      </w:r>
    </w:p>
    <w:p>
      <w:pPr>
        <w:pStyle w:val="Compact"/>
      </w:pPr>
      <w:r>
        <w:t xml:space="preserve">В результате работы модели получен результат в 53,8%, что означает средний риск для здоровья населения. В данной модели учтены не все параметры влияющие на результат , поэтому данный вывод является предварительным</w:t>
      </w:r>
    </w:p>
    <w:p>
      <w:pPr>
        <w:pStyle w:val="Compact"/>
      </w:pPr>
      <w:r>
        <w:t xml:space="preserve">Расчеты носят теоретический характер и с выборочными данными работа пока не проводиться.</w:t>
      </w:r>
    </w:p>
    <w:p>
      <w:pPr>
        <w:pStyle w:val="Heading2"/>
      </w:pPr>
      <w:bookmarkStart w:id="25" w:name="заключение"/>
      <w:bookmarkEnd w:id="25"/>
      <w:r>
        <w:t xml:space="preserve">Заключение</w:t>
      </w:r>
    </w:p>
    <w:p>
      <w:pPr>
        <w:pStyle w:val="Compact"/>
      </w:pPr>
      <w:r>
        <w:t xml:space="preserve">Целью работы была разработка модели системы на основе нечеткой логики для оценки риска здоровью населения. В результате работы была реализована модель данной системы, однако были описаны не все параметры влияющие на оценку риска, а также были прописаны не все правила. Хотя модель и является неполной даже сейчас она может выдавать приблизительно достоверную оценку риска.</w:t>
      </w:r>
    </w:p>
    <w:p>
      <w:pPr>
        <w:pStyle w:val="Compact"/>
      </w:pPr>
      <w:r>
        <w:t xml:space="preserve">В дальнейшем требуется доработать модель расширив количество переменных и увеличив количество правил. Также к модели можно подключить блок управленческих решений превратив модель из просто анализирующей в полноценную систему поддержки принятия решений</w:t>
      </w:r>
    </w:p>
    <w:p>
      <w:pPr>
        <w:pStyle w:val="Heading2"/>
      </w:pPr>
      <w:bookmarkStart w:id="26" w:name="--"/>
      <w:bookmarkEnd w:id="26"/>
      <w:r>
        <w:t xml:space="preserve">Список используемой литературы</w:t>
      </w:r>
    </w:p>
    <w:p>
      <w:pPr>
        <w:pStyle w:val="Compact"/>
        <w:numPr>
          <w:numId w:val="1010"/>
          <w:ilvl w:val="0"/>
        </w:numPr>
      </w:pPr>
      <w:r>
        <w:t xml:space="preserve">Безуглая Э.Ю. Мониторинг состояния загрязнения атмосферы в городах / Э.Ю. Безуглая. Л.: Изд-во Гидрометеоиздат, 1986.- 196 с.</w:t>
      </w:r>
    </w:p>
    <w:p>
      <w:pPr>
        <w:pStyle w:val="Compact"/>
        <w:numPr>
          <w:numId w:val="1010"/>
          <w:ilvl w:val="0"/>
        </w:numPr>
      </w:pPr>
      <w:r>
        <w:t xml:space="preserve">Акимова Т.А. Экология. Человек- Экономика — Биота Среда: Учебник для вузов.- 2-е изд., перераб. и доп. / Т.А. Акимова, В.В. Хаскин. - М.: Изд-во Юнити-Дана, 2002.-566с.</w:t>
      </w:r>
    </w:p>
    <w:p>
      <w:pPr>
        <w:pStyle w:val="Compact"/>
        <w:numPr>
          <w:numId w:val="1010"/>
          <w:ilvl w:val="0"/>
        </w:numPr>
      </w:pPr>
      <w:r>
        <w:t xml:space="preserve">Алексеенко В.А. Биосфера и жизнедеятельность. Учебное пособие / В.А. Алексеенко, Л.П. Алексеенко. М.: Изд-во Логос, 2002. -212 е.: ил.</w:t>
      </w:r>
    </w:p>
    <w:p>
      <w:pPr>
        <w:pStyle w:val="Compact"/>
        <w:numPr>
          <w:numId w:val="1010"/>
          <w:ilvl w:val="0"/>
        </w:numPr>
      </w:pPr>
      <w:r>
        <w:t xml:space="preserve">Малышев Н. Г. и др. Нечеткие модели для экспертных систем в САПР. М.: Энергоатомиздат,1991. 136с.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a9f6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579b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59ac63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Нечеткое моделирование в оценке риска здоровью населения от загрязнения ОС</dc:title>
  <dc:creator>Кузьмин Дмитрий Юрьевич, группа М610М</dc:creator>
  <dcterms:created xsi:type="dcterms:W3CDTF">2017-12-21T23:38:56Z</dcterms:created>
  <dcterms:modified xsi:type="dcterms:W3CDTF">2017-12-21T23:38:56Z</dcterms:modified>
</cp:coreProperties>
</file>