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BD3F7" w14:textId="022AECDD" w:rsidR="00C94F28" w:rsidRDefault="00C94F28" w:rsidP="00AC2811">
      <w:pPr>
        <w:jc w:val="center"/>
        <w:rPr>
          <w:rFonts w:ascii="Times New Roman" w:hAnsi="Times New Roman" w:cs="Times New Roman"/>
          <w:b/>
          <w:bCs/>
          <w:sz w:val="28"/>
          <w:szCs w:val="28"/>
          <w:lang w:val="en-US"/>
        </w:rPr>
      </w:pPr>
      <w:r w:rsidRPr="00C94F28">
        <w:rPr>
          <w:rFonts w:ascii="Times New Roman" w:hAnsi="Times New Roman" w:cs="Times New Roman"/>
          <w:b/>
          <w:bCs/>
          <w:sz w:val="28"/>
          <w:szCs w:val="28"/>
          <w:lang w:val="en-US"/>
        </w:rPr>
        <w:t xml:space="preserve">QF600 (Asset Pricing) – Homework </w:t>
      </w:r>
      <w:r w:rsidR="007D7DCD">
        <w:rPr>
          <w:rFonts w:ascii="Times New Roman" w:hAnsi="Times New Roman" w:cs="Times New Roman"/>
          <w:b/>
          <w:bCs/>
          <w:sz w:val="28"/>
          <w:szCs w:val="28"/>
          <w:lang w:val="en-US"/>
        </w:rPr>
        <w:t>2</w:t>
      </w:r>
    </w:p>
    <w:p w14:paraId="0D9F7797" w14:textId="60D845BB" w:rsidR="007D7DCD" w:rsidRPr="007D7DCD" w:rsidRDefault="007D7DCD" w:rsidP="007D7DCD">
      <w:pPr>
        <w:jc w:val="both"/>
        <w:rPr>
          <w:rFonts w:ascii="Times New Roman" w:hAnsi="Times New Roman" w:cs="Times New Roman"/>
          <w:u w:val="single"/>
        </w:rPr>
      </w:pPr>
      <w:r w:rsidRPr="007D7DCD">
        <w:rPr>
          <w:rFonts w:ascii="Times New Roman" w:hAnsi="Times New Roman" w:cs="Times New Roman"/>
          <w:u w:val="single"/>
        </w:rPr>
        <w:t>Capital Asset Pricing Model (CAPM)</w:t>
      </w:r>
    </w:p>
    <w:p w14:paraId="67C41B3C" w14:textId="49B1F4E8" w:rsidR="00C94F28" w:rsidRDefault="007D7DCD" w:rsidP="007D7DCD">
      <w:pPr>
        <w:jc w:val="both"/>
        <w:rPr>
          <w:rFonts w:ascii="Times New Roman" w:hAnsi="Times New Roman" w:cs="Times New Roman"/>
        </w:rPr>
      </w:pPr>
      <w:r w:rsidRPr="007D7DCD">
        <w:rPr>
          <w:rFonts w:ascii="Times New Roman" w:hAnsi="Times New Roman" w:cs="Times New Roman"/>
        </w:rPr>
        <w:t>Market_Portfolio.xlsx contains monthly nominal (net) returns (expressed as percentages) for the market portfolio, over the ten-year period from Jan 2004 through Dec 2013. Assume that the (net) risk-free rate is 0.13% per month.</w:t>
      </w:r>
      <w:r w:rsidR="00590F44">
        <w:rPr>
          <w:rFonts w:ascii="Times New Roman" w:hAnsi="Times New Roman" w:cs="Times New Roman"/>
        </w:rPr>
        <w:t xml:space="preserve"> </w:t>
      </w:r>
    </w:p>
    <w:p w14:paraId="2921E368" w14:textId="5DF48C0F" w:rsidR="007D7DCD" w:rsidRPr="007D7DCD" w:rsidRDefault="007D7DCD" w:rsidP="007D7DCD">
      <w:pPr>
        <w:jc w:val="both"/>
        <w:rPr>
          <w:rFonts w:ascii="Times New Roman" w:hAnsi="Times New Roman" w:cs="Times New Roman"/>
          <w:u w:val="single"/>
        </w:rPr>
      </w:pPr>
      <w:r w:rsidRPr="007D7DCD">
        <w:rPr>
          <w:rFonts w:ascii="Times New Roman" w:hAnsi="Times New Roman" w:cs="Times New Roman"/>
          <w:u w:val="single"/>
        </w:rPr>
        <w:t>Market Model</w:t>
      </w:r>
    </w:p>
    <w:p w14:paraId="4A5AB09B" w14:textId="3A40B739" w:rsidR="007D7DCD" w:rsidRPr="007D7DCD" w:rsidRDefault="007D7DCD" w:rsidP="007D7DCD">
      <w:pPr>
        <w:pStyle w:val="ListParagraph"/>
        <w:numPr>
          <w:ilvl w:val="0"/>
          <w:numId w:val="10"/>
        </w:numPr>
        <w:jc w:val="both"/>
        <w:rPr>
          <w:rFonts w:ascii="Times New Roman" w:hAnsi="Times New Roman" w:cs="Times New Roman"/>
        </w:rPr>
      </w:pPr>
      <w:r w:rsidRPr="007D7DCD">
        <w:rPr>
          <w:rFonts w:ascii="Times New Roman" w:hAnsi="Times New Roman" w:cs="Times New Roman"/>
        </w:rPr>
        <w:t>Estimate the intercept coefficient (α) and slope coefficient (β) for each of the ten industry portfolio using the market model: regress the monthly </w:t>
      </w:r>
      <w:r w:rsidRPr="007D7DCD">
        <w:rPr>
          <w:rFonts w:ascii="Times New Roman" w:hAnsi="Times New Roman" w:cs="Times New Roman"/>
          <w:i/>
          <w:iCs/>
        </w:rPr>
        <w:t>excess</w:t>
      </w:r>
      <w:r w:rsidRPr="007D7DCD">
        <w:rPr>
          <w:rFonts w:ascii="Times New Roman" w:hAnsi="Times New Roman" w:cs="Times New Roman"/>
        </w:rPr>
        <w:t> returns for each industry portfolio on the monthly </w:t>
      </w:r>
      <w:r w:rsidRPr="007D7DCD">
        <w:rPr>
          <w:rFonts w:ascii="Times New Roman" w:hAnsi="Times New Roman" w:cs="Times New Roman"/>
          <w:i/>
          <w:iCs/>
        </w:rPr>
        <w:t>excess</w:t>
      </w:r>
      <w:r w:rsidRPr="007D7DCD">
        <w:rPr>
          <w:rFonts w:ascii="Times New Roman" w:hAnsi="Times New Roman" w:cs="Times New Roman"/>
        </w:rPr>
        <w:t> returns for the market portfolio.</w:t>
      </w:r>
    </w:p>
    <w:p w14:paraId="75C12C37" w14:textId="6F3163C0" w:rsidR="007D7DCD" w:rsidRPr="007D7DCD" w:rsidRDefault="007D7DCD" w:rsidP="007D7DCD">
      <w:pPr>
        <w:pStyle w:val="ListParagraph"/>
        <w:numPr>
          <w:ilvl w:val="1"/>
          <w:numId w:val="10"/>
        </w:numPr>
        <w:jc w:val="both"/>
        <w:rPr>
          <w:rFonts w:ascii="Times New Roman" w:hAnsi="Times New Roman" w:cs="Times New Roman"/>
        </w:rPr>
      </w:pPr>
      <w:r w:rsidRPr="007D7DCD">
        <w:rPr>
          <w:rFonts w:ascii="Times New Roman" w:hAnsi="Times New Roman" w:cs="Times New Roman"/>
        </w:rPr>
        <w:t>Create a table showing the intercept and slope coefficients for the ten industry portfolios.</w:t>
      </w:r>
    </w:p>
    <w:p w14:paraId="663F4C21" w14:textId="4BEE6DCD" w:rsidR="00E6771A" w:rsidRPr="00DA03F9" w:rsidRDefault="00E6771A" w:rsidP="00535877">
      <w:pPr>
        <w:ind w:left="720" w:firstLine="720"/>
        <w:jc w:val="both"/>
        <w:rPr>
          <w:rFonts w:ascii="Times New Roman" w:hAnsi="Times New Roman" w:cs="Times New Roman"/>
          <w:u w:val="single"/>
        </w:rPr>
      </w:pPr>
      <w:r w:rsidRPr="00DA03F9">
        <w:rPr>
          <w:rFonts w:ascii="Times New Roman" w:hAnsi="Times New Roman" w:cs="Times New Roman"/>
          <w:u w:val="single"/>
        </w:rPr>
        <w:t>Answer:</w:t>
      </w:r>
    </w:p>
    <w:tbl>
      <w:tblPr>
        <w:tblStyle w:val="TableGrid"/>
        <w:tblW w:w="5318" w:type="dxa"/>
        <w:jc w:val="center"/>
        <w:tblLook w:val="04A0" w:firstRow="1" w:lastRow="0" w:firstColumn="1" w:lastColumn="0" w:noHBand="0" w:noVBand="1"/>
      </w:tblPr>
      <w:tblGrid>
        <w:gridCol w:w="1301"/>
        <w:gridCol w:w="2023"/>
        <w:gridCol w:w="1994"/>
      </w:tblGrid>
      <w:tr w:rsidR="00C94F28" w:rsidRPr="00C94F28" w14:paraId="6E28983C" w14:textId="77777777" w:rsidTr="00881663">
        <w:trPr>
          <w:trHeight w:val="265"/>
          <w:jc w:val="center"/>
        </w:trPr>
        <w:tc>
          <w:tcPr>
            <w:tcW w:w="1301" w:type="dxa"/>
            <w:noWrap/>
            <w:hideMark/>
          </w:tcPr>
          <w:p w14:paraId="5A178240" w14:textId="77777777" w:rsidR="00C94F28" w:rsidRPr="00C94F28" w:rsidRDefault="00C94F28" w:rsidP="001A42DC">
            <w:pPr>
              <w:jc w:val="center"/>
              <w:rPr>
                <w:rFonts w:ascii="Times New Roman" w:eastAsia="Times New Roman" w:hAnsi="Times New Roman" w:cs="Times New Roman"/>
                <w:b/>
                <w:bCs/>
                <w:color w:val="000000"/>
                <w:kern w:val="0"/>
                <w:sz w:val="22"/>
                <w:szCs w:val="22"/>
                <w:lang w:eastAsia="en-GB"/>
                <w14:ligatures w14:val="none"/>
              </w:rPr>
            </w:pPr>
            <w:r w:rsidRPr="00C94F28">
              <w:rPr>
                <w:rFonts w:ascii="Times New Roman" w:eastAsia="Times New Roman" w:hAnsi="Times New Roman" w:cs="Times New Roman"/>
                <w:b/>
                <w:bCs/>
                <w:color w:val="000000"/>
                <w:kern w:val="0"/>
                <w:sz w:val="22"/>
                <w:szCs w:val="22"/>
                <w:lang w:eastAsia="en-GB"/>
                <w14:ligatures w14:val="none"/>
              </w:rPr>
              <w:t>Industry</w:t>
            </w:r>
          </w:p>
        </w:tc>
        <w:tc>
          <w:tcPr>
            <w:tcW w:w="2023" w:type="dxa"/>
            <w:noWrap/>
            <w:hideMark/>
          </w:tcPr>
          <w:p w14:paraId="52ECB7E7" w14:textId="6D93D3AE" w:rsidR="00C94F28" w:rsidRPr="00C94F28" w:rsidRDefault="00491474" w:rsidP="001A42DC">
            <w:pPr>
              <w:jc w:val="center"/>
              <w:rPr>
                <w:rFonts w:ascii="Times New Roman" w:eastAsia="Times New Roman" w:hAnsi="Times New Roman" w:cs="Times New Roman"/>
                <w:b/>
                <w:bCs/>
                <w:color w:val="000000"/>
                <w:kern w:val="0"/>
                <w:sz w:val="22"/>
                <w:szCs w:val="22"/>
                <w:lang w:eastAsia="en-GB"/>
                <w14:ligatures w14:val="none"/>
              </w:rPr>
            </w:pPr>
            <w:r>
              <w:rPr>
                <w:rFonts w:ascii="Times New Roman" w:eastAsia="Times New Roman" w:hAnsi="Times New Roman" w:cs="Times New Roman"/>
                <w:b/>
                <w:bCs/>
                <w:color w:val="000000"/>
                <w:kern w:val="0"/>
                <w:sz w:val="22"/>
                <w:szCs w:val="22"/>
                <w:lang w:eastAsia="en-GB"/>
                <w14:ligatures w14:val="none"/>
              </w:rPr>
              <w:t>Intercept (</w:t>
            </w:r>
            <w:r w:rsidRPr="007D7DCD">
              <w:rPr>
                <w:rFonts w:ascii="Times New Roman" w:hAnsi="Times New Roman" w:cs="Times New Roman"/>
              </w:rPr>
              <w:t>α</w:t>
            </w:r>
            <w:r>
              <w:rPr>
                <w:rFonts w:ascii="Times New Roman" w:hAnsi="Times New Roman" w:cs="Times New Roman"/>
              </w:rPr>
              <w:t>)</w:t>
            </w:r>
          </w:p>
        </w:tc>
        <w:tc>
          <w:tcPr>
            <w:tcW w:w="1994" w:type="dxa"/>
            <w:noWrap/>
            <w:hideMark/>
          </w:tcPr>
          <w:p w14:paraId="5E57ECE9" w14:textId="7669029D" w:rsidR="00C94F28" w:rsidRPr="00C94F28" w:rsidRDefault="00491474" w:rsidP="001A42DC">
            <w:pPr>
              <w:jc w:val="center"/>
              <w:rPr>
                <w:rFonts w:ascii="Times New Roman" w:eastAsia="Times New Roman" w:hAnsi="Times New Roman" w:cs="Times New Roman"/>
                <w:b/>
                <w:bCs/>
                <w:color w:val="000000"/>
                <w:kern w:val="0"/>
                <w:sz w:val="22"/>
                <w:szCs w:val="22"/>
                <w:lang w:eastAsia="en-GB"/>
                <w14:ligatures w14:val="none"/>
              </w:rPr>
            </w:pPr>
            <w:r>
              <w:rPr>
                <w:rFonts w:ascii="Times New Roman" w:eastAsia="Times New Roman" w:hAnsi="Times New Roman" w:cs="Times New Roman"/>
                <w:b/>
                <w:bCs/>
                <w:color w:val="000000"/>
                <w:kern w:val="0"/>
                <w:sz w:val="22"/>
                <w:szCs w:val="22"/>
                <w:lang w:eastAsia="en-GB"/>
                <w14:ligatures w14:val="none"/>
              </w:rPr>
              <w:t>Slope (</w:t>
            </w:r>
            <w:r w:rsidRPr="007D7DCD">
              <w:rPr>
                <w:rFonts w:ascii="Times New Roman" w:hAnsi="Times New Roman" w:cs="Times New Roman"/>
              </w:rPr>
              <w:t>β</w:t>
            </w:r>
            <w:r>
              <w:rPr>
                <w:rFonts w:ascii="Times New Roman" w:hAnsi="Times New Roman" w:cs="Times New Roman"/>
              </w:rPr>
              <w:t>)</w:t>
            </w:r>
          </w:p>
        </w:tc>
      </w:tr>
      <w:tr w:rsidR="00F92BD3" w:rsidRPr="00C94F28" w14:paraId="6C0831CB" w14:textId="77777777" w:rsidTr="00881663">
        <w:trPr>
          <w:trHeight w:val="265"/>
          <w:jc w:val="center"/>
        </w:trPr>
        <w:tc>
          <w:tcPr>
            <w:tcW w:w="1301" w:type="dxa"/>
            <w:noWrap/>
            <w:vAlign w:val="center"/>
            <w:hideMark/>
          </w:tcPr>
          <w:p w14:paraId="26651DB9" w14:textId="2D5F232F"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proofErr w:type="spellStart"/>
            <w:r w:rsidRPr="00F92BD3">
              <w:rPr>
                <w:rFonts w:ascii="Times New Roman" w:hAnsi="Times New Roman" w:cs="Times New Roman"/>
                <w:b/>
                <w:bCs/>
                <w:sz w:val="22"/>
                <w:szCs w:val="22"/>
              </w:rPr>
              <w:t>NoDur</w:t>
            </w:r>
            <w:proofErr w:type="spellEnd"/>
          </w:p>
        </w:tc>
        <w:tc>
          <w:tcPr>
            <w:tcW w:w="2023" w:type="dxa"/>
            <w:noWrap/>
            <w:vAlign w:val="center"/>
            <w:hideMark/>
          </w:tcPr>
          <w:p w14:paraId="103219A7" w14:textId="35D59EC3"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0.369443</w:t>
            </w:r>
          </w:p>
        </w:tc>
        <w:tc>
          <w:tcPr>
            <w:tcW w:w="1994" w:type="dxa"/>
            <w:noWrap/>
            <w:vAlign w:val="center"/>
            <w:hideMark/>
          </w:tcPr>
          <w:p w14:paraId="6D0ECE2B" w14:textId="12B17173"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0.652647</w:t>
            </w:r>
          </w:p>
        </w:tc>
      </w:tr>
      <w:tr w:rsidR="00F92BD3" w:rsidRPr="00C94F28" w14:paraId="28B83A92" w14:textId="77777777" w:rsidTr="00881663">
        <w:trPr>
          <w:trHeight w:val="265"/>
          <w:jc w:val="center"/>
        </w:trPr>
        <w:tc>
          <w:tcPr>
            <w:tcW w:w="1301" w:type="dxa"/>
            <w:noWrap/>
            <w:vAlign w:val="center"/>
            <w:hideMark/>
          </w:tcPr>
          <w:p w14:paraId="116B216D" w14:textId="6393B6C2"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proofErr w:type="spellStart"/>
            <w:r w:rsidRPr="00F92BD3">
              <w:rPr>
                <w:rFonts w:ascii="Times New Roman" w:hAnsi="Times New Roman" w:cs="Times New Roman"/>
                <w:b/>
                <w:bCs/>
                <w:sz w:val="22"/>
                <w:szCs w:val="22"/>
              </w:rPr>
              <w:t>Durbl</w:t>
            </w:r>
            <w:proofErr w:type="spellEnd"/>
          </w:p>
        </w:tc>
        <w:tc>
          <w:tcPr>
            <w:tcW w:w="2023" w:type="dxa"/>
            <w:noWrap/>
            <w:vAlign w:val="center"/>
            <w:hideMark/>
          </w:tcPr>
          <w:p w14:paraId="55EDFCA2" w14:textId="3A03E7F8"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-0.415599</w:t>
            </w:r>
          </w:p>
        </w:tc>
        <w:tc>
          <w:tcPr>
            <w:tcW w:w="1994" w:type="dxa"/>
            <w:noWrap/>
            <w:vAlign w:val="center"/>
            <w:hideMark/>
          </w:tcPr>
          <w:p w14:paraId="2601A8DF" w14:textId="2D135EE8"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1.648536</w:t>
            </w:r>
          </w:p>
        </w:tc>
      </w:tr>
      <w:tr w:rsidR="00F92BD3" w:rsidRPr="00C94F28" w14:paraId="2CA97CA4" w14:textId="77777777" w:rsidTr="00881663">
        <w:trPr>
          <w:trHeight w:val="265"/>
          <w:jc w:val="center"/>
        </w:trPr>
        <w:tc>
          <w:tcPr>
            <w:tcW w:w="1301" w:type="dxa"/>
            <w:noWrap/>
            <w:vAlign w:val="center"/>
            <w:hideMark/>
          </w:tcPr>
          <w:p w14:paraId="3EABB86C" w14:textId="5ECE920C"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proofErr w:type="spellStart"/>
            <w:r w:rsidRPr="00F92BD3">
              <w:rPr>
                <w:rFonts w:ascii="Times New Roman" w:hAnsi="Times New Roman" w:cs="Times New Roman"/>
                <w:b/>
                <w:bCs/>
                <w:sz w:val="22"/>
                <w:szCs w:val="22"/>
              </w:rPr>
              <w:t>Manuf</w:t>
            </w:r>
            <w:proofErr w:type="spellEnd"/>
          </w:p>
        </w:tc>
        <w:tc>
          <w:tcPr>
            <w:tcW w:w="2023" w:type="dxa"/>
            <w:noWrap/>
            <w:vAlign w:val="center"/>
            <w:hideMark/>
          </w:tcPr>
          <w:p w14:paraId="5CCEE8B7" w14:textId="7B6D0D0D"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0.159771</w:t>
            </w:r>
          </w:p>
        </w:tc>
        <w:tc>
          <w:tcPr>
            <w:tcW w:w="1994" w:type="dxa"/>
            <w:noWrap/>
            <w:vAlign w:val="center"/>
            <w:hideMark/>
          </w:tcPr>
          <w:p w14:paraId="08C29A63" w14:textId="43EDE9DA"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1.169846</w:t>
            </w:r>
          </w:p>
        </w:tc>
      </w:tr>
      <w:tr w:rsidR="00F92BD3" w:rsidRPr="00C94F28" w14:paraId="700CE2B9" w14:textId="77777777" w:rsidTr="00881663">
        <w:trPr>
          <w:trHeight w:val="265"/>
          <w:jc w:val="center"/>
        </w:trPr>
        <w:tc>
          <w:tcPr>
            <w:tcW w:w="1301" w:type="dxa"/>
            <w:noWrap/>
            <w:vAlign w:val="center"/>
            <w:hideMark/>
          </w:tcPr>
          <w:p w14:paraId="7D1F6DA6" w14:textId="0B43AE2F"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proofErr w:type="spellStart"/>
            <w:r w:rsidRPr="00F92BD3">
              <w:rPr>
                <w:rFonts w:ascii="Times New Roman" w:hAnsi="Times New Roman" w:cs="Times New Roman"/>
                <w:b/>
                <w:bCs/>
                <w:sz w:val="22"/>
                <w:szCs w:val="22"/>
              </w:rPr>
              <w:t>Enrgy</w:t>
            </w:r>
            <w:proofErr w:type="spellEnd"/>
          </w:p>
        </w:tc>
        <w:tc>
          <w:tcPr>
            <w:tcW w:w="2023" w:type="dxa"/>
            <w:noWrap/>
            <w:vAlign w:val="center"/>
            <w:hideMark/>
          </w:tcPr>
          <w:p w14:paraId="39BE83D9" w14:textId="7EC891A9"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0.501719</w:t>
            </w:r>
          </w:p>
        </w:tc>
        <w:tc>
          <w:tcPr>
            <w:tcW w:w="1994" w:type="dxa"/>
            <w:noWrap/>
            <w:vAlign w:val="center"/>
            <w:hideMark/>
          </w:tcPr>
          <w:p w14:paraId="5CD4F020" w14:textId="77335061"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0.969850</w:t>
            </w:r>
          </w:p>
        </w:tc>
      </w:tr>
      <w:tr w:rsidR="00F92BD3" w:rsidRPr="00C94F28" w14:paraId="5A8CC80D" w14:textId="77777777" w:rsidTr="00881663">
        <w:trPr>
          <w:trHeight w:val="265"/>
          <w:jc w:val="center"/>
        </w:trPr>
        <w:tc>
          <w:tcPr>
            <w:tcW w:w="1301" w:type="dxa"/>
            <w:noWrap/>
            <w:vAlign w:val="center"/>
            <w:hideMark/>
          </w:tcPr>
          <w:p w14:paraId="3962D103" w14:textId="31B7ADDA"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proofErr w:type="spellStart"/>
            <w:r w:rsidRPr="00F92BD3">
              <w:rPr>
                <w:rFonts w:ascii="Times New Roman" w:hAnsi="Times New Roman" w:cs="Times New Roman"/>
                <w:b/>
                <w:bCs/>
                <w:sz w:val="22"/>
                <w:szCs w:val="22"/>
              </w:rPr>
              <w:t>HiTec</w:t>
            </w:r>
            <w:proofErr w:type="spellEnd"/>
          </w:p>
        </w:tc>
        <w:tc>
          <w:tcPr>
            <w:tcW w:w="2023" w:type="dxa"/>
            <w:noWrap/>
            <w:vAlign w:val="center"/>
            <w:hideMark/>
          </w:tcPr>
          <w:p w14:paraId="1EF93908" w14:textId="7422A6FB"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-0.064020</w:t>
            </w:r>
          </w:p>
        </w:tc>
        <w:tc>
          <w:tcPr>
            <w:tcW w:w="1994" w:type="dxa"/>
            <w:noWrap/>
            <w:vAlign w:val="center"/>
            <w:hideMark/>
          </w:tcPr>
          <w:p w14:paraId="5A0DB2AF" w14:textId="1BF11956"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1.132969</w:t>
            </w:r>
          </w:p>
        </w:tc>
      </w:tr>
      <w:tr w:rsidR="00F92BD3" w:rsidRPr="00C94F28" w14:paraId="2CE80EA3" w14:textId="77777777" w:rsidTr="00881663">
        <w:trPr>
          <w:trHeight w:val="265"/>
          <w:jc w:val="center"/>
        </w:trPr>
        <w:tc>
          <w:tcPr>
            <w:tcW w:w="1301" w:type="dxa"/>
            <w:noWrap/>
            <w:vAlign w:val="center"/>
            <w:hideMark/>
          </w:tcPr>
          <w:p w14:paraId="65E38AD0" w14:textId="5A285918"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proofErr w:type="spellStart"/>
            <w:r w:rsidRPr="00F92BD3">
              <w:rPr>
                <w:rFonts w:ascii="Times New Roman" w:hAnsi="Times New Roman" w:cs="Times New Roman"/>
                <w:b/>
                <w:bCs/>
                <w:sz w:val="22"/>
                <w:szCs w:val="22"/>
              </w:rPr>
              <w:t>Telcm</w:t>
            </w:r>
            <w:proofErr w:type="spellEnd"/>
          </w:p>
        </w:tc>
        <w:tc>
          <w:tcPr>
            <w:tcW w:w="2023" w:type="dxa"/>
            <w:noWrap/>
            <w:vAlign w:val="center"/>
            <w:hideMark/>
          </w:tcPr>
          <w:p w14:paraId="65514393" w14:textId="5FC018B3"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0.194691</w:t>
            </w:r>
          </w:p>
        </w:tc>
        <w:tc>
          <w:tcPr>
            <w:tcW w:w="1994" w:type="dxa"/>
            <w:noWrap/>
            <w:vAlign w:val="center"/>
            <w:hideMark/>
          </w:tcPr>
          <w:p w14:paraId="799A3B76" w14:textId="46ACC7A9"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0.900729</w:t>
            </w:r>
          </w:p>
        </w:tc>
      </w:tr>
      <w:tr w:rsidR="00F92BD3" w:rsidRPr="00C94F28" w14:paraId="570D1B96" w14:textId="77777777" w:rsidTr="00881663">
        <w:trPr>
          <w:trHeight w:val="265"/>
          <w:jc w:val="center"/>
        </w:trPr>
        <w:tc>
          <w:tcPr>
            <w:tcW w:w="1301" w:type="dxa"/>
            <w:noWrap/>
            <w:vAlign w:val="center"/>
            <w:hideMark/>
          </w:tcPr>
          <w:p w14:paraId="5D8644ED" w14:textId="295A9A47"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b/>
                <w:bCs/>
                <w:sz w:val="22"/>
                <w:szCs w:val="22"/>
              </w:rPr>
              <w:t>Shops</w:t>
            </w:r>
          </w:p>
        </w:tc>
        <w:tc>
          <w:tcPr>
            <w:tcW w:w="2023" w:type="dxa"/>
            <w:noWrap/>
            <w:vAlign w:val="center"/>
            <w:hideMark/>
          </w:tcPr>
          <w:p w14:paraId="030F1D68" w14:textId="313E6975"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0.275492</w:t>
            </w:r>
          </w:p>
        </w:tc>
        <w:tc>
          <w:tcPr>
            <w:tcW w:w="1994" w:type="dxa"/>
            <w:noWrap/>
            <w:vAlign w:val="center"/>
            <w:hideMark/>
          </w:tcPr>
          <w:p w14:paraId="75E7C212" w14:textId="0801FD03"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0.826492</w:t>
            </w:r>
          </w:p>
        </w:tc>
      </w:tr>
      <w:tr w:rsidR="00F92BD3" w:rsidRPr="00C94F28" w14:paraId="492D7E5C" w14:textId="77777777" w:rsidTr="00881663">
        <w:trPr>
          <w:trHeight w:val="265"/>
          <w:jc w:val="center"/>
        </w:trPr>
        <w:tc>
          <w:tcPr>
            <w:tcW w:w="1301" w:type="dxa"/>
            <w:noWrap/>
            <w:vAlign w:val="center"/>
            <w:hideMark/>
          </w:tcPr>
          <w:p w14:paraId="2CE81B3E" w14:textId="67D7747B"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proofErr w:type="spellStart"/>
            <w:r w:rsidRPr="00F92BD3">
              <w:rPr>
                <w:rFonts w:ascii="Times New Roman" w:hAnsi="Times New Roman" w:cs="Times New Roman"/>
                <w:b/>
                <w:bCs/>
                <w:sz w:val="22"/>
                <w:szCs w:val="22"/>
              </w:rPr>
              <w:t>Hlth</w:t>
            </w:r>
            <w:proofErr w:type="spellEnd"/>
          </w:p>
        </w:tc>
        <w:tc>
          <w:tcPr>
            <w:tcW w:w="2023" w:type="dxa"/>
            <w:noWrap/>
            <w:vAlign w:val="center"/>
            <w:hideMark/>
          </w:tcPr>
          <w:p w14:paraId="5F69D384" w14:textId="44882277"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0.237841</w:t>
            </w:r>
          </w:p>
        </w:tc>
        <w:tc>
          <w:tcPr>
            <w:tcW w:w="1994" w:type="dxa"/>
            <w:noWrap/>
            <w:vAlign w:val="center"/>
            <w:hideMark/>
          </w:tcPr>
          <w:p w14:paraId="79E45F6B" w14:textId="30B8CE63"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0.673036</w:t>
            </w:r>
          </w:p>
        </w:tc>
      </w:tr>
      <w:tr w:rsidR="00F92BD3" w:rsidRPr="00C94F28" w14:paraId="48C55AC2" w14:textId="77777777" w:rsidTr="00881663">
        <w:trPr>
          <w:trHeight w:val="265"/>
          <w:jc w:val="center"/>
        </w:trPr>
        <w:tc>
          <w:tcPr>
            <w:tcW w:w="1301" w:type="dxa"/>
            <w:noWrap/>
            <w:vAlign w:val="center"/>
            <w:hideMark/>
          </w:tcPr>
          <w:p w14:paraId="71557E3D" w14:textId="6F47F0D7"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b/>
                <w:bCs/>
                <w:sz w:val="22"/>
                <w:szCs w:val="22"/>
              </w:rPr>
              <w:t>Utils</w:t>
            </w:r>
          </w:p>
        </w:tc>
        <w:tc>
          <w:tcPr>
            <w:tcW w:w="2023" w:type="dxa"/>
            <w:noWrap/>
            <w:vAlign w:val="center"/>
            <w:hideMark/>
          </w:tcPr>
          <w:p w14:paraId="77D8DCCC" w14:textId="38821E7D"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0.444585</w:t>
            </w:r>
          </w:p>
        </w:tc>
        <w:tc>
          <w:tcPr>
            <w:tcW w:w="1994" w:type="dxa"/>
            <w:noWrap/>
            <w:vAlign w:val="center"/>
            <w:hideMark/>
          </w:tcPr>
          <w:p w14:paraId="559B7ADD" w14:textId="729BDED9"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0.538086</w:t>
            </w:r>
          </w:p>
        </w:tc>
      </w:tr>
      <w:tr w:rsidR="00F92BD3" w:rsidRPr="00C94F28" w14:paraId="7DB376BD" w14:textId="77777777" w:rsidTr="00881663">
        <w:trPr>
          <w:trHeight w:val="265"/>
          <w:jc w:val="center"/>
        </w:trPr>
        <w:tc>
          <w:tcPr>
            <w:tcW w:w="1301" w:type="dxa"/>
            <w:noWrap/>
            <w:vAlign w:val="center"/>
            <w:hideMark/>
          </w:tcPr>
          <w:p w14:paraId="5637A296" w14:textId="69BA36C3"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b/>
                <w:bCs/>
                <w:sz w:val="22"/>
                <w:szCs w:val="22"/>
              </w:rPr>
              <w:t>Other</w:t>
            </w:r>
          </w:p>
        </w:tc>
        <w:tc>
          <w:tcPr>
            <w:tcW w:w="2023" w:type="dxa"/>
            <w:noWrap/>
            <w:vAlign w:val="center"/>
            <w:hideMark/>
          </w:tcPr>
          <w:p w14:paraId="2F6533BA" w14:textId="011F1E83"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-0.387135</w:t>
            </w:r>
          </w:p>
        </w:tc>
        <w:tc>
          <w:tcPr>
            <w:tcW w:w="1994" w:type="dxa"/>
            <w:noWrap/>
            <w:vAlign w:val="center"/>
            <w:hideMark/>
          </w:tcPr>
          <w:p w14:paraId="587E3B3D" w14:textId="0153D215" w:rsidR="00F92BD3" w:rsidRPr="00F92BD3" w:rsidRDefault="00F92BD3" w:rsidP="00F92BD3">
            <w:pPr>
              <w:jc w:val="center"/>
              <w:rPr>
                <w:rFonts w:ascii="Times New Roman" w:eastAsia="Times New Roman" w:hAnsi="Times New Roman" w:cs="Times New Roman"/>
                <w:color w:val="000000"/>
                <w:kern w:val="0"/>
                <w:sz w:val="22"/>
                <w:szCs w:val="22"/>
                <w:lang w:eastAsia="en-GB"/>
                <w14:ligatures w14:val="none"/>
              </w:rPr>
            </w:pPr>
            <w:r w:rsidRPr="00F92BD3">
              <w:rPr>
                <w:rFonts w:ascii="Times New Roman" w:hAnsi="Times New Roman" w:cs="Times New Roman"/>
                <w:sz w:val="22"/>
                <w:szCs w:val="22"/>
              </w:rPr>
              <w:t>1.207309</w:t>
            </w:r>
          </w:p>
        </w:tc>
      </w:tr>
    </w:tbl>
    <w:p w14:paraId="1C2FCF3E" w14:textId="0948B8B7" w:rsidR="007D7DCD" w:rsidRDefault="007D7DCD" w:rsidP="007D7DCD">
      <w:pPr>
        <w:jc w:val="both"/>
        <w:rPr>
          <w:rFonts w:ascii="Times New Roman" w:hAnsi="Times New Roman" w:cs="Times New Roman"/>
          <w:sz w:val="28"/>
          <w:szCs w:val="28"/>
        </w:rPr>
      </w:pPr>
    </w:p>
    <w:p w14:paraId="3912DF9A" w14:textId="77777777" w:rsidR="00DA03F9" w:rsidRDefault="007D7DCD" w:rsidP="00EA314D">
      <w:pPr>
        <w:numPr>
          <w:ilvl w:val="1"/>
          <w:numId w:val="10"/>
        </w:numPr>
        <w:shd w:val="clear" w:color="auto" w:fill="FFFFFF"/>
        <w:spacing w:before="100" w:beforeAutospacing="1" w:after="100" w:afterAutospacing="1" w:line="240" w:lineRule="auto"/>
        <w:jc w:val="both"/>
        <w:rPr>
          <w:rFonts w:ascii="Times New Roman" w:eastAsia="Times New Roman" w:hAnsi="Times New Roman" w:cs="Times New Roman"/>
          <w:color w:val="202122"/>
          <w:spacing w:val="3"/>
          <w:kern w:val="0"/>
          <w:lang w:eastAsia="en-GB"/>
          <w14:ligatures w14:val="none"/>
        </w:rPr>
      </w:pPr>
      <w:r w:rsidRPr="007D7DCD">
        <w:rPr>
          <w:rFonts w:ascii="Times New Roman" w:eastAsia="Times New Roman" w:hAnsi="Times New Roman" w:cs="Times New Roman"/>
          <w:color w:val="202122"/>
          <w:spacing w:val="3"/>
          <w:kern w:val="0"/>
          <w:lang w:eastAsia="en-GB"/>
          <w14:ligatures w14:val="none"/>
        </w:rPr>
        <w:t>Briefly explain (in words, without mathematical equations or formulas) the economic significance and pricing implications of the intercept and slope coefficients.</w:t>
      </w:r>
    </w:p>
    <w:p w14:paraId="4C20ACBD" w14:textId="7A055175" w:rsidR="007D7DCD" w:rsidRPr="00DA03F9" w:rsidRDefault="00DA03F9" w:rsidP="00535877">
      <w:pPr>
        <w:shd w:val="clear" w:color="auto" w:fill="FFFFFF"/>
        <w:spacing w:before="100" w:beforeAutospacing="1" w:after="100" w:afterAutospacing="1" w:line="240" w:lineRule="auto"/>
        <w:ind w:left="1080" w:firstLine="360"/>
        <w:rPr>
          <w:rFonts w:ascii="Times New Roman" w:eastAsia="Times New Roman" w:hAnsi="Times New Roman" w:cs="Times New Roman"/>
          <w:color w:val="202122"/>
          <w:spacing w:val="3"/>
          <w:kern w:val="0"/>
          <w:lang w:eastAsia="en-GB"/>
          <w14:ligatures w14:val="none"/>
        </w:rPr>
      </w:pPr>
      <w:r w:rsidRPr="00DA03F9">
        <w:rPr>
          <w:rFonts w:ascii="Times New Roman" w:hAnsi="Times New Roman" w:cs="Times New Roman"/>
          <w:u w:val="single"/>
        </w:rPr>
        <w:t>Answer:</w:t>
      </w:r>
    </w:p>
    <w:p w14:paraId="21CEAFF2" w14:textId="62D328B7" w:rsidR="005E74AA" w:rsidRDefault="00B646A7" w:rsidP="005E74AA">
      <w:pPr>
        <w:ind w:left="1440"/>
        <w:jc w:val="both"/>
        <w:rPr>
          <w:rFonts w:ascii="Times New Roman" w:hAnsi="Times New Roman" w:cs="Times New Roman"/>
        </w:rPr>
      </w:pPr>
      <w:r w:rsidRPr="00B646A7">
        <w:rPr>
          <w:rFonts w:ascii="Times New Roman" w:hAnsi="Times New Roman" w:cs="Times New Roman"/>
          <w:u w:val="single"/>
        </w:rPr>
        <w:t>Economic significance</w:t>
      </w:r>
      <w:r w:rsidRPr="00B646A7">
        <w:rPr>
          <w:rFonts w:ascii="Times New Roman" w:hAnsi="Times New Roman" w:cs="Times New Roman"/>
        </w:rPr>
        <w:t xml:space="preserve"> of</w:t>
      </w:r>
      <w:r>
        <w:rPr>
          <w:rFonts w:ascii="Times New Roman" w:hAnsi="Times New Roman" w:cs="Times New Roman"/>
          <w:b/>
          <w:bCs/>
        </w:rPr>
        <w:t xml:space="preserve"> </w:t>
      </w:r>
      <w:r w:rsidR="00C61550">
        <w:rPr>
          <w:rFonts w:ascii="Times New Roman" w:hAnsi="Times New Roman" w:cs="Times New Roman"/>
          <w:b/>
          <w:bCs/>
        </w:rPr>
        <w:t>s</w:t>
      </w:r>
      <w:r w:rsidR="00AB1850" w:rsidRPr="00BE6338">
        <w:rPr>
          <w:rFonts w:ascii="Times New Roman" w:hAnsi="Times New Roman" w:cs="Times New Roman"/>
          <w:b/>
          <w:bCs/>
        </w:rPr>
        <w:t>lope coefficient (</w:t>
      </w:r>
      <w:r w:rsidR="00AB1850" w:rsidRPr="00BE6338">
        <w:rPr>
          <w:rFonts w:ascii="Times New Roman" w:hAnsi="Times New Roman" w:cs="Times New Roman"/>
          <w:b/>
          <w:bCs/>
          <w:i/>
          <w:iCs/>
        </w:rPr>
        <w:t>β</w:t>
      </w:r>
      <w:r w:rsidR="00AB1850" w:rsidRPr="00BE6338">
        <w:rPr>
          <w:rFonts w:ascii="Times New Roman" w:hAnsi="Times New Roman" w:cs="Times New Roman"/>
          <w:b/>
          <w:bCs/>
        </w:rPr>
        <w:t>)</w:t>
      </w:r>
      <w:r w:rsidR="00AB1850" w:rsidRPr="00881663">
        <w:rPr>
          <w:rFonts w:ascii="Times New Roman" w:hAnsi="Times New Roman" w:cs="Times New Roman"/>
        </w:rPr>
        <w:t xml:space="preserve"> </w:t>
      </w:r>
      <w:r w:rsidR="00C61550">
        <w:rPr>
          <w:rFonts w:ascii="Times New Roman" w:hAnsi="Times New Roman" w:cs="Times New Roman"/>
        </w:rPr>
        <w:t xml:space="preserve">is to measure the </w:t>
      </w:r>
      <w:r w:rsidR="00AB1850" w:rsidRPr="00881663">
        <w:rPr>
          <w:rFonts w:ascii="Times New Roman" w:hAnsi="Times New Roman" w:cs="Times New Roman"/>
        </w:rPr>
        <w:t>amount of exposure to systematic risk</w:t>
      </w:r>
      <w:r w:rsidR="005E74AA">
        <w:rPr>
          <w:rFonts w:ascii="Times New Roman" w:hAnsi="Times New Roman" w:cs="Times New Roman"/>
        </w:rPr>
        <w:t>, when investing in an asset</w:t>
      </w:r>
      <w:r w:rsidR="00135C75">
        <w:rPr>
          <w:rFonts w:ascii="Times New Roman" w:hAnsi="Times New Roman" w:cs="Times New Roman"/>
        </w:rPr>
        <w:t xml:space="preserve"> or portfolio, that cannot be diversified away because it affects the entire market.</w:t>
      </w:r>
    </w:p>
    <w:p w14:paraId="30F71414" w14:textId="45167845" w:rsidR="00E615B2" w:rsidRDefault="00E615B2" w:rsidP="00E615B2">
      <w:pPr>
        <w:pStyle w:val="ListParagraph"/>
        <w:numPr>
          <w:ilvl w:val="0"/>
          <w:numId w:val="13"/>
        </w:numPr>
        <w:jc w:val="both"/>
        <w:rPr>
          <w:rFonts w:ascii="Times New Roman" w:hAnsi="Times New Roman" w:cs="Times New Roman"/>
        </w:rPr>
      </w:pPr>
      <w:r w:rsidRPr="005E74AA">
        <w:rPr>
          <w:rFonts w:ascii="Times New Roman" w:hAnsi="Times New Roman" w:cs="Times New Roman"/>
        </w:rPr>
        <w:t>β &gt; 1 means the asset is more volatile than the market, and vice versa</w:t>
      </w:r>
      <w:r>
        <w:rPr>
          <w:rFonts w:ascii="Times New Roman" w:hAnsi="Times New Roman" w:cs="Times New Roman"/>
        </w:rPr>
        <w:t>.</w:t>
      </w:r>
    </w:p>
    <w:p w14:paraId="424B6EB1" w14:textId="7C391E52" w:rsidR="00E615B2" w:rsidRPr="00E615B2" w:rsidRDefault="00E615B2" w:rsidP="00E615B2">
      <w:pPr>
        <w:pStyle w:val="ListParagraph"/>
        <w:numPr>
          <w:ilvl w:val="0"/>
          <w:numId w:val="13"/>
        </w:numPr>
        <w:jc w:val="both"/>
        <w:rPr>
          <w:rFonts w:ascii="Times New Roman" w:hAnsi="Times New Roman" w:cs="Times New Roman"/>
        </w:rPr>
      </w:pPr>
      <w:r w:rsidRPr="005E74AA">
        <w:rPr>
          <w:rFonts w:ascii="Times New Roman" w:hAnsi="Times New Roman" w:cs="Times New Roman"/>
        </w:rPr>
        <w:t>β</w:t>
      </w:r>
      <w:r>
        <w:rPr>
          <w:rFonts w:ascii="Times New Roman" w:hAnsi="Times New Roman" w:cs="Times New Roman"/>
        </w:rPr>
        <w:t xml:space="preserve"> = 1 means the asset moves in line with the market.</w:t>
      </w:r>
    </w:p>
    <w:p w14:paraId="37C74998" w14:textId="3C85CCCB" w:rsidR="00B646A7" w:rsidRPr="00B646A7" w:rsidRDefault="00B646A7" w:rsidP="00B646A7">
      <w:pPr>
        <w:pStyle w:val="ListParagraph"/>
        <w:numPr>
          <w:ilvl w:val="0"/>
          <w:numId w:val="13"/>
        </w:numPr>
        <w:jc w:val="both"/>
        <w:rPr>
          <w:rFonts w:ascii="Times New Roman" w:hAnsi="Times New Roman" w:cs="Times New Roman"/>
        </w:rPr>
      </w:pPr>
      <w:r w:rsidRPr="00B646A7">
        <w:rPr>
          <w:rFonts w:ascii="Times New Roman" w:hAnsi="Times New Roman" w:cs="Times New Roman"/>
        </w:rPr>
        <w:t>Negative</w:t>
      </w:r>
      <w:r w:rsidR="00881663" w:rsidRPr="00B646A7">
        <w:rPr>
          <w:rFonts w:ascii="Times New Roman" w:hAnsi="Times New Roman" w:cs="Times New Roman"/>
        </w:rPr>
        <w:t xml:space="preserve"> </w:t>
      </w:r>
      <w:r w:rsidR="000E182E" w:rsidRPr="00B646A7">
        <w:rPr>
          <w:rFonts w:ascii="Times New Roman" w:hAnsi="Times New Roman" w:cs="Times New Roman"/>
        </w:rPr>
        <w:t>β</w:t>
      </w:r>
      <w:r w:rsidR="00881663" w:rsidRPr="00B646A7">
        <w:rPr>
          <w:rFonts w:ascii="Times New Roman" w:hAnsi="Times New Roman" w:cs="Times New Roman"/>
        </w:rPr>
        <w:t xml:space="preserve"> </w:t>
      </w:r>
      <w:r w:rsidRPr="00B646A7">
        <w:rPr>
          <w:rFonts w:ascii="Times New Roman" w:hAnsi="Times New Roman" w:cs="Times New Roman"/>
        </w:rPr>
        <w:t>means the</w:t>
      </w:r>
      <w:r w:rsidR="00881663" w:rsidRPr="00B646A7">
        <w:rPr>
          <w:rFonts w:ascii="Times New Roman" w:hAnsi="Times New Roman" w:cs="Times New Roman"/>
        </w:rPr>
        <w:t xml:space="preserve"> asset return has negative correlation with market, and vice versa.</w:t>
      </w:r>
      <w:r w:rsidR="000E182E" w:rsidRPr="00B646A7">
        <w:rPr>
          <w:rFonts w:ascii="Times New Roman" w:hAnsi="Times New Roman" w:cs="Times New Roman"/>
        </w:rPr>
        <w:t xml:space="preserve"> </w:t>
      </w:r>
    </w:p>
    <w:p w14:paraId="48B288E3" w14:textId="0B3B05CE" w:rsidR="00E93B0B" w:rsidRDefault="000E182E" w:rsidP="00E93B0B">
      <w:pPr>
        <w:ind w:left="1440"/>
        <w:jc w:val="both"/>
        <w:rPr>
          <w:rFonts w:ascii="Times New Roman" w:hAnsi="Times New Roman" w:cs="Times New Roman"/>
        </w:rPr>
      </w:pPr>
      <w:r>
        <w:rPr>
          <w:rFonts w:ascii="Times New Roman" w:hAnsi="Times New Roman" w:cs="Times New Roman"/>
        </w:rPr>
        <w:t xml:space="preserve">For its </w:t>
      </w:r>
      <w:r w:rsidRPr="00B646A7">
        <w:rPr>
          <w:rFonts w:ascii="Times New Roman" w:hAnsi="Times New Roman" w:cs="Times New Roman"/>
          <w:u w:val="single"/>
        </w:rPr>
        <w:t>pricing implication</w:t>
      </w:r>
      <w:r>
        <w:rPr>
          <w:rFonts w:ascii="Times New Roman" w:hAnsi="Times New Roman" w:cs="Times New Roman"/>
        </w:rPr>
        <w:t xml:space="preserve">, </w:t>
      </w:r>
      <w:r w:rsidR="00C61550">
        <w:rPr>
          <w:rFonts w:ascii="Times New Roman" w:hAnsi="Times New Roman" w:cs="Times New Roman"/>
          <w:b/>
          <w:bCs/>
        </w:rPr>
        <w:t>s</w:t>
      </w:r>
      <w:r w:rsidR="00C61550" w:rsidRPr="00BE6338">
        <w:rPr>
          <w:rFonts w:ascii="Times New Roman" w:hAnsi="Times New Roman" w:cs="Times New Roman"/>
          <w:b/>
          <w:bCs/>
        </w:rPr>
        <w:t>lope coefficient (</w:t>
      </w:r>
      <w:r w:rsidR="00C61550" w:rsidRPr="00BE6338">
        <w:rPr>
          <w:rFonts w:ascii="Times New Roman" w:hAnsi="Times New Roman" w:cs="Times New Roman"/>
          <w:b/>
          <w:bCs/>
          <w:i/>
          <w:iCs/>
        </w:rPr>
        <w:t>β</w:t>
      </w:r>
      <w:r w:rsidR="00C61550" w:rsidRPr="00BE6338">
        <w:rPr>
          <w:rFonts w:ascii="Times New Roman" w:hAnsi="Times New Roman" w:cs="Times New Roman"/>
          <w:b/>
          <w:bCs/>
        </w:rPr>
        <w:t>)</w:t>
      </w:r>
      <w:r w:rsidR="00C61550">
        <w:rPr>
          <w:rFonts w:ascii="Times New Roman" w:hAnsi="Times New Roman" w:cs="Times New Roman"/>
        </w:rPr>
        <w:t xml:space="preserve"> </w:t>
      </w:r>
      <w:r>
        <w:rPr>
          <w:rFonts w:ascii="Times New Roman" w:hAnsi="Times New Roman" w:cs="Times New Roman"/>
        </w:rPr>
        <w:t xml:space="preserve">indicates how much compensation investors require for the systematic risk associated with holding </w:t>
      </w:r>
      <w:r>
        <w:rPr>
          <w:rFonts w:ascii="Times New Roman" w:hAnsi="Times New Roman" w:cs="Times New Roman"/>
        </w:rPr>
        <w:lastRenderedPageBreak/>
        <w:t>the asset.</w:t>
      </w:r>
      <w:r w:rsidR="005E74AA">
        <w:rPr>
          <w:rFonts w:ascii="Times New Roman" w:hAnsi="Times New Roman" w:cs="Times New Roman"/>
        </w:rPr>
        <w:t xml:space="preserve"> </w:t>
      </w:r>
      <w:r w:rsidR="00E93B0B">
        <w:rPr>
          <w:rFonts w:ascii="Times New Roman" w:hAnsi="Times New Roman" w:cs="Times New Roman"/>
        </w:rPr>
        <w:t>If an asset has a high beta (</w:t>
      </w:r>
      <w:r w:rsidR="00E93B0B" w:rsidRPr="005E74AA">
        <w:rPr>
          <w:rFonts w:ascii="Times New Roman" w:hAnsi="Times New Roman" w:cs="Times New Roman"/>
        </w:rPr>
        <w:t>β</w:t>
      </w:r>
      <w:r w:rsidR="00E93B0B">
        <w:rPr>
          <w:rFonts w:ascii="Times New Roman" w:hAnsi="Times New Roman" w:cs="Times New Roman"/>
        </w:rPr>
        <w:t xml:space="preserve"> &gt; 1) </w:t>
      </w:r>
      <w:r w:rsidR="00F60B3E">
        <w:rPr>
          <w:rFonts w:ascii="Times New Roman" w:hAnsi="Times New Roman" w:cs="Times New Roman"/>
        </w:rPr>
        <w:t>investors will expect to</w:t>
      </w:r>
      <w:r w:rsidR="00E93B0B">
        <w:rPr>
          <w:rFonts w:ascii="Times New Roman" w:hAnsi="Times New Roman" w:cs="Times New Roman"/>
        </w:rPr>
        <w:t xml:space="preserve"> </w:t>
      </w:r>
      <w:r w:rsidR="00F60B3E">
        <w:rPr>
          <w:rFonts w:ascii="Times New Roman" w:hAnsi="Times New Roman" w:cs="Times New Roman"/>
        </w:rPr>
        <w:t>get</w:t>
      </w:r>
      <w:r w:rsidR="00E93B0B">
        <w:rPr>
          <w:rFonts w:ascii="Times New Roman" w:hAnsi="Times New Roman" w:cs="Times New Roman"/>
        </w:rPr>
        <w:t xml:space="preserve"> higher return to compensate for its higher risk, and vice versa.</w:t>
      </w:r>
    </w:p>
    <w:p w14:paraId="2B47B783" w14:textId="293A1214" w:rsidR="0085164B" w:rsidRDefault="00C61550" w:rsidP="00E93B0B">
      <w:pPr>
        <w:ind w:left="1440"/>
        <w:jc w:val="both"/>
        <w:rPr>
          <w:rFonts w:ascii="Times New Roman" w:hAnsi="Times New Roman" w:cs="Times New Roman"/>
        </w:rPr>
      </w:pPr>
      <w:r w:rsidRPr="00B646A7">
        <w:rPr>
          <w:rFonts w:ascii="Times New Roman" w:hAnsi="Times New Roman" w:cs="Times New Roman"/>
          <w:u w:val="single"/>
        </w:rPr>
        <w:t>Economic significance</w:t>
      </w:r>
      <w:r w:rsidRPr="00B646A7">
        <w:rPr>
          <w:rFonts w:ascii="Times New Roman" w:hAnsi="Times New Roman" w:cs="Times New Roman"/>
        </w:rPr>
        <w:t xml:space="preserve"> </w:t>
      </w:r>
      <w:r>
        <w:rPr>
          <w:rFonts w:ascii="Times New Roman" w:hAnsi="Times New Roman" w:cs="Times New Roman"/>
        </w:rPr>
        <w:t xml:space="preserve">of </w:t>
      </w:r>
      <w:r>
        <w:rPr>
          <w:rFonts w:ascii="Times New Roman" w:hAnsi="Times New Roman" w:cs="Times New Roman"/>
          <w:b/>
          <w:bCs/>
        </w:rPr>
        <w:t>i</w:t>
      </w:r>
      <w:r w:rsidR="00881663" w:rsidRPr="00BE6338">
        <w:rPr>
          <w:rFonts w:ascii="Times New Roman" w:hAnsi="Times New Roman" w:cs="Times New Roman"/>
          <w:b/>
          <w:bCs/>
        </w:rPr>
        <w:t>ntercept</w:t>
      </w:r>
      <w:r w:rsidR="00AB1850" w:rsidRPr="00BE6338">
        <w:rPr>
          <w:rFonts w:ascii="Times New Roman" w:hAnsi="Times New Roman" w:cs="Times New Roman"/>
          <w:b/>
          <w:bCs/>
        </w:rPr>
        <w:t xml:space="preserve"> coefficient (</w:t>
      </w:r>
      <w:r w:rsidR="00AB1850" w:rsidRPr="00BE6338">
        <w:rPr>
          <w:rFonts w:ascii="Times New Roman" w:hAnsi="Times New Roman" w:cs="Times New Roman"/>
          <w:b/>
          <w:bCs/>
          <w:i/>
          <w:iCs/>
        </w:rPr>
        <w:t>α</w:t>
      </w:r>
      <w:r w:rsidR="00AB1850" w:rsidRPr="00BE6338">
        <w:rPr>
          <w:rFonts w:ascii="Times New Roman" w:hAnsi="Times New Roman" w:cs="Times New Roman"/>
          <w:b/>
          <w:bCs/>
        </w:rPr>
        <w:t>)</w:t>
      </w:r>
      <w:r w:rsidR="00AB1850" w:rsidRPr="00881663">
        <w:rPr>
          <w:rFonts w:ascii="Times New Roman" w:hAnsi="Times New Roman" w:cs="Times New Roman"/>
        </w:rPr>
        <w:t xml:space="preserve"> represents “pricing error” (relative to CAPM) for individual assets or “passive” portfolios. </w:t>
      </w:r>
      <w:r w:rsidR="00C943F9" w:rsidRPr="00C943F9">
        <w:rPr>
          <w:rFonts w:ascii="Times New Roman" w:hAnsi="Times New Roman" w:cs="Times New Roman"/>
        </w:rPr>
        <w:t>The alpha coefficient (intercept) shows how much the excess asset returns vary from the required return (after adjusting for market volatilities and fluctuations)</w:t>
      </w:r>
      <w:r w:rsidR="00C943F9">
        <w:rPr>
          <w:rFonts w:ascii="Times New Roman" w:hAnsi="Times New Roman" w:cs="Times New Roman"/>
        </w:rPr>
        <w:t>.</w:t>
      </w:r>
    </w:p>
    <w:p w14:paraId="301DE213" w14:textId="77777777" w:rsidR="00400D15" w:rsidRDefault="00C61550" w:rsidP="005E74AA">
      <w:pPr>
        <w:ind w:left="1440"/>
        <w:jc w:val="both"/>
        <w:rPr>
          <w:rFonts w:ascii="Times New Roman" w:hAnsi="Times New Roman" w:cs="Times New Roman"/>
        </w:rPr>
      </w:pPr>
      <w:r w:rsidRPr="005E74AA">
        <w:rPr>
          <w:rFonts w:ascii="Times New Roman" w:hAnsi="Times New Roman" w:cs="Times New Roman"/>
        </w:rPr>
        <w:t xml:space="preserve">For its </w:t>
      </w:r>
      <w:r w:rsidRPr="005E74AA">
        <w:rPr>
          <w:rFonts w:ascii="Times New Roman" w:hAnsi="Times New Roman" w:cs="Times New Roman"/>
          <w:u w:val="single"/>
        </w:rPr>
        <w:t>pricing implication</w:t>
      </w:r>
      <w:r w:rsidRPr="005E74AA">
        <w:rPr>
          <w:rFonts w:ascii="Times New Roman" w:hAnsi="Times New Roman" w:cs="Times New Roman"/>
        </w:rPr>
        <w:t xml:space="preserve">, the </w:t>
      </w:r>
      <w:r w:rsidRPr="005E74AA">
        <w:rPr>
          <w:rFonts w:ascii="Times New Roman" w:hAnsi="Times New Roman" w:cs="Times New Roman"/>
          <w:b/>
          <w:bCs/>
        </w:rPr>
        <w:t>intercept coefficient (</w:t>
      </w:r>
      <w:r w:rsidRPr="005E74AA">
        <w:rPr>
          <w:rFonts w:ascii="Times New Roman" w:hAnsi="Times New Roman" w:cs="Times New Roman"/>
          <w:b/>
          <w:bCs/>
          <w:i/>
          <w:iCs/>
        </w:rPr>
        <w:t>α</w:t>
      </w:r>
      <w:r w:rsidRPr="005E74AA">
        <w:rPr>
          <w:rFonts w:ascii="Times New Roman" w:hAnsi="Times New Roman" w:cs="Times New Roman"/>
          <w:b/>
          <w:bCs/>
        </w:rPr>
        <w:t>)</w:t>
      </w:r>
      <w:r w:rsidRPr="005E74AA">
        <w:rPr>
          <w:rFonts w:ascii="Times New Roman" w:hAnsi="Times New Roman" w:cs="Times New Roman"/>
        </w:rPr>
        <w:t xml:space="preserve"> should be zero if CAPM is correct. Meaning all assets are correctly priced according to their risk.</w:t>
      </w:r>
    </w:p>
    <w:p w14:paraId="5ECA2938" w14:textId="5B410296" w:rsidR="00400D15" w:rsidRDefault="00400D15" w:rsidP="00400D15">
      <w:pPr>
        <w:pStyle w:val="ListParagraph"/>
        <w:numPr>
          <w:ilvl w:val="0"/>
          <w:numId w:val="13"/>
        </w:numPr>
        <w:jc w:val="both"/>
        <w:rPr>
          <w:rFonts w:ascii="Times New Roman" w:hAnsi="Times New Roman" w:cs="Times New Roman"/>
        </w:rPr>
      </w:pPr>
      <w:r w:rsidRPr="00400D15">
        <w:rPr>
          <w:rFonts w:ascii="Times New Roman" w:hAnsi="Times New Roman" w:cs="Times New Roman"/>
        </w:rPr>
        <w:t xml:space="preserve"> </w:t>
      </w:r>
      <w:r w:rsidR="005E74AA" w:rsidRPr="00400D15">
        <w:rPr>
          <w:rFonts w:ascii="Times New Roman" w:hAnsi="Times New Roman" w:cs="Times New Roman"/>
        </w:rPr>
        <w:t xml:space="preserve">A positive </w:t>
      </w:r>
      <w:r>
        <w:rPr>
          <w:rFonts w:ascii="Times New Roman" w:hAnsi="Times New Roman" w:cs="Times New Roman"/>
        </w:rPr>
        <w:t>alpha (</w:t>
      </w:r>
      <w:r w:rsidR="005E74AA" w:rsidRPr="00400D15">
        <w:rPr>
          <w:rFonts w:ascii="Times New Roman" w:hAnsi="Times New Roman" w:cs="Times New Roman"/>
        </w:rPr>
        <w:t>α</w:t>
      </w:r>
      <w:r>
        <w:rPr>
          <w:rFonts w:ascii="Times New Roman" w:hAnsi="Times New Roman" w:cs="Times New Roman"/>
        </w:rPr>
        <w:t>)</w:t>
      </w:r>
      <w:r w:rsidR="005E74AA" w:rsidRPr="00400D15">
        <w:rPr>
          <w:rFonts w:ascii="Times New Roman" w:hAnsi="Times New Roman" w:cs="Times New Roman"/>
        </w:rPr>
        <w:t xml:space="preserve"> means that the asset has outperformed the expected return based on its systematic risk</w:t>
      </w:r>
      <w:r>
        <w:rPr>
          <w:rFonts w:ascii="Times New Roman" w:hAnsi="Times New Roman" w:cs="Times New Roman"/>
        </w:rPr>
        <w:t>. This means that the asset is undervalued and demand is likely to increase which will push the price higher, driving the alpha closer to zero</w:t>
      </w:r>
    </w:p>
    <w:p w14:paraId="6435BD40" w14:textId="3702E39E" w:rsidR="00C61550" w:rsidRPr="00135C75" w:rsidRDefault="00400D15" w:rsidP="00135C75">
      <w:pPr>
        <w:pStyle w:val="ListParagraph"/>
        <w:numPr>
          <w:ilvl w:val="0"/>
          <w:numId w:val="13"/>
        </w:numPr>
        <w:jc w:val="both"/>
        <w:rPr>
          <w:rFonts w:ascii="Times New Roman" w:hAnsi="Times New Roman" w:cs="Times New Roman"/>
        </w:rPr>
      </w:pPr>
      <w:r>
        <w:rPr>
          <w:rFonts w:ascii="Times New Roman" w:hAnsi="Times New Roman" w:cs="Times New Roman"/>
        </w:rPr>
        <w:t>W</w:t>
      </w:r>
      <w:r w:rsidR="005E74AA" w:rsidRPr="00400D15">
        <w:rPr>
          <w:rFonts w:ascii="Times New Roman" w:hAnsi="Times New Roman" w:cs="Times New Roman"/>
        </w:rPr>
        <w:t xml:space="preserve">hile </w:t>
      </w:r>
      <w:r>
        <w:rPr>
          <w:rFonts w:ascii="Times New Roman" w:hAnsi="Times New Roman" w:cs="Times New Roman"/>
        </w:rPr>
        <w:t xml:space="preserve">a </w:t>
      </w:r>
      <w:r w:rsidR="005E74AA" w:rsidRPr="00400D15">
        <w:rPr>
          <w:rFonts w:ascii="Times New Roman" w:hAnsi="Times New Roman" w:cs="Times New Roman"/>
        </w:rPr>
        <w:t xml:space="preserve">negative </w:t>
      </w:r>
      <w:r>
        <w:rPr>
          <w:rFonts w:ascii="Times New Roman" w:hAnsi="Times New Roman" w:cs="Times New Roman"/>
        </w:rPr>
        <w:t>alpha (</w:t>
      </w:r>
      <w:r w:rsidR="005E74AA" w:rsidRPr="00400D15">
        <w:rPr>
          <w:rFonts w:ascii="Times New Roman" w:hAnsi="Times New Roman" w:cs="Times New Roman"/>
        </w:rPr>
        <w:t>α</w:t>
      </w:r>
      <w:r>
        <w:rPr>
          <w:rFonts w:ascii="Times New Roman" w:hAnsi="Times New Roman" w:cs="Times New Roman"/>
        </w:rPr>
        <w:t>)</w:t>
      </w:r>
      <w:r w:rsidR="005E74AA" w:rsidRPr="00400D15">
        <w:rPr>
          <w:rFonts w:ascii="Times New Roman" w:hAnsi="Times New Roman" w:cs="Times New Roman"/>
        </w:rPr>
        <w:t xml:space="preserve"> means underperformance. </w:t>
      </w:r>
      <w:r>
        <w:rPr>
          <w:rFonts w:ascii="Times New Roman" w:hAnsi="Times New Roman" w:cs="Times New Roman"/>
        </w:rPr>
        <w:t>This means that the asset is overvalued and demand is likely to decrease which will lower the price, driving alpha closer to zero.</w:t>
      </w:r>
    </w:p>
    <w:p w14:paraId="5632BA43" w14:textId="2CFB6BA8" w:rsidR="007D7DCD" w:rsidRDefault="007D7DCD" w:rsidP="007D7DCD">
      <w:pPr>
        <w:jc w:val="both"/>
        <w:rPr>
          <w:rFonts w:ascii="Times New Roman" w:hAnsi="Times New Roman" w:cs="Times New Roman"/>
          <w:u w:val="single"/>
        </w:rPr>
      </w:pPr>
      <w:r w:rsidRPr="007D7DCD">
        <w:rPr>
          <w:rFonts w:ascii="Times New Roman" w:hAnsi="Times New Roman" w:cs="Times New Roman"/>
          <w:u w:val="single"/>
        </w:rPr>
        <w:t>Security Market Line (SML)</w:t>
      </w:r>
    </w:p>
    <w:p w14:paraId="36EC7AC0" w14:textId="2C6A5C06" w:rsidR="00755C75" w:rsidRDefault="007D7DCD" w:rsidP="00755C75">
      <w:pPr>
        <w:pStyle w:val="ListParagraph"/>
        <w:numPr>
          <w:ilvl w:val="0"/>
          <w:numId w:val="10"/>
        </w:numPr>
        <w:jc w:val="both"/>
        <w:rPr>
          <w:rFonts w:ascii="Times New Roman" w:hAnsi="Times New Roman" w:cs="Times New Roman"/>
        </w:rPr>
      </w:pPr>
      <w:r w:rsidRPr="007D7DCD">
        <w:rPr>
          <w:rFonts w:ascii="Times New Roman" w:hAnsi="Times New Roman" w:cs="Times New Roman"/>
        </w:rPr>
        <w:t>Calculate the mean monthly return for each of the ten industry portfolios, as well as the market portfolio.</w:t>
      </w:r>
    </w:p>
    <w:p w14:paraId="31E9CF06" w14:textId="2B0F9CFD" w:rsidR="00755C75" w:rsidRPr="00DA03F9" w:rsidRDefault="00755C75" w:rsidP="00DA03F9">
      <w:pPr>
        <w:ind w:firstLine="720"/>
        <w:jc w:val="both"/>
        <w:rPr>
          <w:rFonts w:ascii="Times New Roman" w:hAnsi="Times New Roman" w:cs="Times New Roman"/>
          <w:u w:val="single"/>
        </w:rPr>
      </w:pPr>
      <w:r w:rsidRPr="00DA03F9">
        <w:rPr>
          <w:rFonts w:ascii="Times New Roman" w:hAnsi="Times New Roman" w:cs="Times New Roman"/>
          <w:u w:val="single"/>
        </w:rPr>
        <w:t>Answer:</w:t>
      </w:r>
    </w:p>
    <w:tbl>
      <w:tblPr>
        <w:tblW w:w="3269" w:type="dxa"/>
        <w:jc w:val="center"/>
        <w:tblLook w:val="04A0" w:firstRow="1" w:lastRow="0" w:firstColumn="1" w:lastColumn="0" w:noHBand="0" w:noVBand="1"/>
      </w:tblPr>
      <w:tblGrid>
        <w:gridCol w:w="1201"/>
        <w:gridCol w:w="2068"/>
      </w:tblGrid>
      <w:tr w:rsidR="00755C75" w:rsidRPr="00755C75" w14:paraId="0CB3EC3D" w14:textId="77777777" w:rsidTr="00A96212">
        <w:trPr>
          <w:trHeight w:val="302"/>
          <w:jc w:val="center"/>
        </w:trPr>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7EDEC" w14:textId="77777777" w:rsidR="00755C75" w:rsidRPr="00755C75" w:rsidRDefault="00755C75" w:rsidP="00755C75">
            <w:pPr>
              <w:spacing w:after="0" w:line="240" w:lineRule="auto"/>
              <w:jc w:val="center"/>
              <w:rPr>
                <w:rFonts w:ascii="Times New Roman" w:eastAsia="Times New Roman" w:hAnsi="Times New Roman" w:cs="Times New Roman"/>
                <w:b/>
                <w:bCs/>
                <w:color w:val="000000"/>
                <w:kern w:val="0"/>
                <w:lang w:eastAsia="en-GB"/>
                <w14:ligatures w14:val="none"/>
              </w:rPr>
            </w:pPr>
            <w:r w:rsidRPr="00755C75">
              <w:rPr>
                <w:rFonts w:ascii="Times New Roman" w:eastAsia="Times New Roman" w:hAnsi="Times New Roman" w:cs="Times New Roman"/>
                <w:b/>
                <w:bCs/>
                <w:color w:val="000000"/>
                <w:kern w:val="0"/>
                <w:lang w:eastAsia="en-GB"/>
                <w14:ligatures w14:val="none"/>
              </w:rPr>
              <w:t>Industry</w:t>
            </w:r>
          </w:p>
        </w:tc>
        <w:tc>
          <w:tcPr>
            <w:tcW w:w="2068" w:type="dxa"/>
            <w:tcBorders>
              <w:top w:val="single" w:sz="4" w:space="0" w:color="auto"/>
              <w:left w:val="nil"/>
              <w:bottom w:val="single" w:sz="4" w:space="0" w:color="auto"/>
              <w:right w:val="single" w:sz="4" w:space="0" w:color="auto"/>
            </w:tcBorders>
            <w:shd w:val="clear" w:color="auto" w:fill="auto"/>
            <w:noWrap/>
            <w:vAlign w:val="bottom"/>
            <w:hideMark/>
          </w:tcPr>
          <w:p w14:paraId="382F6149" w14:textId="77777777" w:rsidR="00755C75" w:rsidRPr="00755C75" w:rsidRDefault="00755C75" w:rsidP="00755C75">
            <w:pPr>
              <w:spacing w:after="0" w:line="240" w:lineRule="auto"/>
              <w:jc w:val="center"/>
              <w:rPr>
                <w:rFonts w:ascii="Times New Roman" w:eastAsia="Times New Roman" w:hAnsi="Times New Roman" w:cs="Times New Roman"/>
                <w:b/>
                <w:bCs/>
                <w:color w:val="000000"/>
                <w:kern w:val="0"/>
                <w:lang w:eastAsia="en-GB"/>
                <w14:ligatures w14:val="none"/>
              </w:rPr>
            </w:pPr>
            <w:r w:rsidRPr="00755C75">
              <w:rPr>
                <w:rFonts w:ascii="Times New Roman" w:eastAsia="Times New Roman" w:hAnsi="Times New Roman" w:cs="Times New Roman"/>
                <w:b/>
                <w:bCs/>
                <w:color w:val="000000"/>
                <w:kern w:val="0"/>
                <w:lang w:eastAsia="en-GB"/>
                <w14:ligatures w14:val="none"/>
              </w:rPr>
              <w:t>Mean Return (%)</w:t>
            </w:r>
          </w:p>
        </w:tc>
      </w:tr>
      <w:tr w:rsidR="00755C75" w:rsidRPr="00755C75" w14:paraId="725BD711" w14:textId="77777777" w:rsidTr="00A96212">
        <w:trPr>
          <w:trHeight w:val="302"/>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6D7A94E8"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755C75">
              <w:rPr>
                <w:rFonts w:ascii="Times New Roman" w:eastAsia="Times New Roman" w:hAnsi="Times New Roman" w:cs="Times New Roman"/>
                <w:color w:val="000000"/>
                <w:kern w:val="0"/>
                <w:lang w:eastAsia="en-GB"/>
                <w14:ligatures w14:val="none"/>
              </w:rPr>
              <w:t>NoDur</w:t>
            </w:r>
            <w:proofErr w:type="spellEnd"/>
          </w:p>
        </w:tc>
        <w:tc>
          <w:tcPr>
            <w:tcW w:w="2068" w:type="dxa"/>
            <w:tcBorders>
              <w:top w:val="nil"/>
              <w:left w:val="nil"/>
              <w:bottom w:val="single" w:sz="4" w:space="0" w:color="auto"/>
              <w:right w:val="single" w:sz="4" w:space="0" w:color="auto"/>
            </w:tcBorders>
            <w:shd w:val="clear" w:color="auto" w:fill="auto"/>
            <w:noWrap/>
            <w:vAlign w:val="bottom"/>
            <w:hideMark/>
          </w:tcPr>
          <w:p w14:paraId="12AF83B1"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0.902833</w:t>
            </w:r>
          </w:p>
        </w:tc>
      </w:tr>
      <w:tr w:rsidR="00755C75" w:rsidRPr="00755C75" w14:paraId="4A231885" w14:textId="77777777" w:rsidTr="00A96212">
        <w:trPr>
          <w:trHeight w:val="302"/>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4856A91A"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755C75">
              <w:rPr>
                <w:rFonts w:ascii="Times New Roman" w:eastAsia="Times New Roman" w:hAnsi="Times New Roman" w:cs="Times New Roman"/>
                <w:color w:val="000000"/>
                <w:kern w:val="0"/>
                <w:lang w:eastAsia="en-GB"/>
                <w14:ligatures w14:val="none"/>
              </w:rPr>
              <w:t>Durbl</w:t>
            </w:r>
            <w:proofErr w:type="spellEnd"/>
          </w:p>
        </w:tc>
        <w:tc>
          <w:tcPr>
            <w:tcW w:w="2068" w:type="dxa"/>
            <w:tcBorders>
              <w:top w:val="nil"/>
              <w:left w:val="nil"/>
              <w:bottom w:val="single" w:sz="4" w:space="0" w:color="auto"/>
              <w:right w:val="single" w:sz="4" w:space="0" w:color="auto"/>
            </w:tcBorders>
            <w:shd w:val="clear" w:color="auto" w:fill="auto"/>
            <w:noWrap/>
            <w:vAlign w:val="bottom"/>
            <w:hideMark/>
          </w:tcPr>
          <w:p w14:paraId="3FA222F0"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0.733333</w:t>
            </w:r>
          </w:p>
        </w:tc>
      </w:tr>
      <w:tr w:rsidR="00755C75" w:rsidRPr="00755C75" w14:paraId="5E9E28A7" w14:textId="77777777" w:rsidTr="00A96212">
        <w:trPr>
          <w:trHeight w:val="302"/>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3F707D29"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755C75">
              <w:rPr>
                <w:rFonts w:ascii="Times New Roman" w:eastAsia="Times New Roman" w:hAnsi="Times New Roman" w:cs="Times New Roman"/>
                <w:color w:val="000000"/>
                <w:kern w:val="0"/>
                <w:lang w:eastAsia="en-GB"/>
                <w14:ligatures w14:val="none"/>
              </w:rPr>
              <w:t>Manuf</w:t>
            </w:r>
            <w:proofErr w:type="spellEnd"/>
          </w:p>
        </w:tc>
        <w:tc>
          <w:tcPr>
            <w:tcW w:w="2068" w:type="dxa"/>
            <w:tcBorders>
              <w:top w:val="nil"/>
              <w:left w:val="nil"/>
              <w:bottom w:val="single" w:sz="4" w:space="0" w:color="auto"/>
              <w:right w:val="single" w:sz="4" w:space="0" w:color="auto"/>
            </w:tcBorders>
            <w:shd w:val="clear" w:color="auto" w:fill="auto"/>
            <w:noWrap/>
            <w:vAlign w:val="bottom"/>
            <w:hideMark/>
          </w:tcPr>
          <w:p w14:paraId="597E5560"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1.012833</w:t>
            </w:r>
          </w:p>
        </w:tc>
      </w:tr>
      <w:tr w:rsidR="00755C75" w:rsidRPr="00755C75" w14:paraId="29D585DB" w14:textId="77777777" w:rsidTr="00A96212">
        <w:trPr>
          <w:trHeight w:val="302"/>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48A7445"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755C75">
              <w:rPr>
                <w:rFonts w:ascii="Times New Roman" w:eastAsia="Times New Roman" w:hAnsi="Times New Roman" w:cs="Times New Roman"/>
                <w:color w:val="000000"/>
                <w:kern w:val="0"/>
                <w:lang w:eastAsia="en-GB"/>
                <w14:ligatures w14:val="none"/>
              </w:rPr>
              <w:t>Enrgy</w:t>
            </w:r>
            <w:proofErr w:type="spellEnd"/>
          </w:p>
        </w:tc>
        <w:tc>
          <w:tcPr>
            <w:tcW w:w="2068" w:type="dxa"/>
            <w:tcBorders>
              <w:top w:val="nil"/>
              <w:left w:val="nil"/>
              <w:bottom w:val="single" w:sz="4" w:space="0" w:color="auto"/>
              <w:right w:val="single" w:sz="4" w:space="0" w:color="auto"/>
            </w:tcBorders>
            <w:shd w:val="clear" w:color="auto" w:fill="auto"/>
            <w:noWrap/>
            <w:vAlign w:val="bottom"/>
            <w:hideMark/>
          </w:tcPr>
          <w:p w14:paraId="7E9B6097"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1.231167</w:t>
            </w:r>
          </w:p>
        </w:tc>
      </w:tr>
      <w:tr w:rsidR="00755C75" w:rsidRPr="00755C75" w14:paraId="48E3EFC3" w14:textId="77777777" w:rsidTr="00A96212">
        <w:trPr>
          <w:trHeight w:val="302"/>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F7CE5EA"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755C75">
              <w:rPr>
                <w:rFonts w:ascii="Times New Roman" w:eastAsia="Times New Roman" w:hAnsi="Times New Roman" w:cs="Times New Roman"/>
                <w:color w:val="000000"/>
                <w:kern w:val="0"/>
                <w:lang w:eastAsia="en-GB"/>
                <w14:ligatures w14:val="none"/>
              </w:rPr>
              <w:t>HiTec</w:t>
            </w:r>
            <w:proofErr w:type="spellEnd"/>
          </w:p>
        </w:tc>
        <w:tc>
          <w:tcPr>
            <w:tcW w:w="2068" w:type="dxa"/>
            <w:tcBorders>
              <w:top w:val="nil"/>
              <w:left w:val="nil"/>
              <w:bottom w:val="single" w:sz="4" w:space="0" w:color="auto"/>
              <w:right w:val="single" w:sz="4" w:space="0" w:color="auto"/>
            </w:tcBorders>
            <w:shd w:val="clear" w:color="auto" w:fill="auto"/>
            <w:noWrap/>
            <w:vAlign w:val="bottom"/>
            <w:hideMark/>
          </w:tcPr>
          <w:p w14:paraId="758D4D85"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0.76625</w:t>
            </w:r>
          </w:p>
        </w:tc>
      </w:tr>
      <w:tr w:rsidR="00755C75" w:rsidRPr="00755C75" w14:paraId="37308965" w14:textId="77777777" w:rsidTr="00A96212">
        <w:trPr>
          <w:trHeight w:val="302"/>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6B71DCD6"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755C75">
              <w:rPr>
                <w:rFonts w:ascii="Times New Roman" w:eastAsia="Times New Roman" w:hAnsi="Times New Roman" w:cs="Times New Roman"/>
                <w:color w:val="000000"/>
                <w:kern w:val="0"/>
                <w:lang w:eastAsia="en-GB"/>
                <w14:ligatures w14:val="none"/>
              </w:rPr>
              <w:t>Telcm</w:t>
            </w:r>
            <w:proofErr w:type="spellEnd"/>
          </w:p>
        </w:tc>
        <w:tc>
          <w:tcPr>
            <w:tcW w:w="2068" w:type="dxa"/>
            <w:tcBorders>
              <w:top w:val="nil"/>
              <w:left w:val="nil"/>
              <w:bottom w:val="single" w:sz="4" w:space="0" w:color="auto"/>
              <w:right w:val="single" w:sz="4" w:space="0" w:color="auto"/>
            </w:tcBorders>
            <w:shd w:val="clear" w:color="auto" w:fill="auto"/>
            <w:noWrap/>
            <w:vAlign w:val="bottom"/>
            <w:hideMark/>
          </w:tcPr>
          <w:p w14:paraId="0A31E526"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0.881417</w:t>
            </w:r>
          </w:p>
        </w:tc>
      </w:tr>
      <w:tr w:rsidR="00755C75" w:rsidRPr="00755C75" w14:paraId="659A8821" w14:textId="77777777" w:rsidTr="00A96212">
        <w:trPr>
          <w:trHeight w:val="302"/>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5C13B012"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Shops</w:t>
            </w:r>
          </w:p>
        </w:tc>
        <w:tc>
          <w:tcPr>
            <w:tcW w:w="2068" w:type="dxa"/>
            <w:tcBorders>
              <w:top w:val="nil"/>
              <w:left w:val="nil"/>
              <w:bottom w:val="single" w:sz="4" w:space="0" w:color="auto"/>
              <w:right w:val="single" w:sz="4" w:space="0" w:color="auto"/>
            </w:tcBorders>
            <w:shd w:val="clear" w:color="auto" w:fill="auto"/>
            <w:noWrap/>
            <w:vAlign w:val="bottom"/>
            <w:hideMark/>
          </w:tcPr>
          <w:p w14:paraId="7A568E35"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0.916333</w:t>
            </w:r>
          </w:p>
        </w:tc>
      </w:tr>
      <w:tr w:rsidR="00755C75" w:rsidRPr="00755C75" w14:paraId="4B231AB6" w14:textId="77777777" w:rsidTr="00A96212">
        <w:trPr>
          <w:trHeight w:val="302"/>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4654402"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755C75">
              <w:rPr>
                <w:rFonts w:ascii="Times New Roman" w:eastAsia="Times New Roman" w:hAnsi="Times New Roman" w:cs="Times New Roman"/>
                <w:color w:val="000000"/>
                <w:kern w:val="0"/>
                <w:lang w:eastAsia="en-GB"/>
                <w14:ligatures w14:val="none"/>
              </w:rPr>
              <w:t>Hlth</w:t>
            </w:r>
            <w:proofErr w:type="spellEnd"/>
          </w:p>
        </w:tc>
        <w:tc>
          <w:tcPr>
            <w:tcW w:w="2068" w:type="dxa"/>
            <w:tcBorders>
              <w:top w:val="nil"/>
              <w:left w:val="nil"/>
              <w:bottom w:val="single" w:sz="4" w:space="0" w:color="auto"/>
              <w:right w:val="single" w:sz="4" w:space="0" w:color="auto"/>
            </w:tcBorders>
            <w:shd w:val="clear" w:color="auto" w:fill="auto"/>
            <w:noWrap/>
            <w:vAlign w:val="bottom"/>
            <w:hideMark/>
          </w:tcPr>
          <w:p w14:paraId="6BEF01C0"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0.783833</w:t>
            </w:r>
          </w:p>
        </w:tc>
      </w:tr>
      <w:tr w:rsidR="00755C75" w:rsidRPr="00755C75" w14:paraId="03C37DF5" w14:textId="77777777" w:rsidTr="00A96212">
        <w:trPr>
          <w:trHeight w:val="302"/>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1CC48A9E"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Utils</w:t>
            </w:r>
          </w:p>
        </w:tc>
        <w:tc>
          <w:tcPr>
            <w:tcW w:w="2068" w:type="dxa"/>
            <w:tcBorders>
              <w:top w:val="nil"/>
              <w:left w:val="nil"/>
              <w:bottom w:val="single" w:sz="4" w:space="0" w:color="auto"/>
              <w:right w:val="single" w:sz="4" w:space="0" w:color="auto"/>
            </w:tcBorders>
            <w:shd w:val="clear" w:color="auto" w:fill="auto"/>
            <w:noWrap/>
            <w:vAlign w:val="bottom"/>
            <w:hideMark/>
          </w:tcPr>
          <w:p w14:paraId="3B06825A"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0.907167</w:t>
            </w:r>
          </w:p>
        </w:tc>
      </w:tr>
      <w:tr w:rsidR="00755C75" w:rsidRPr="00755C75" w14:paraId="0CE76411" w14:textId="77777777" w:rsidTr="00A96212">
        <w:trPr>
          <w:trHeight w:val="302"/>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DC3C983"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Other</w:t>
            </w:r>
          </w:p>
        </w:tc>
        <w:tc>
          <w:tcPr>
            <w:tcW w:w="2068" w:type="dxa"/>
            <w:tcBorders>
              <w:top w:val="nil"/>
              <w:left w:val="nil"/>
              <w:bottom w:val="single" w:sz="4" w:space="0" w:color="auto"/>
              <w:right w:val="single" w:sz="4" w:space="0" w:color="auto"/>
            </w:tcBorders>
            <w:shd w:val="clear" w:color="auto" w:fill="auto"/>
            <w:noWrap/>
            <w:vAlign w:val="bottom"/>
            <w:hideMark/>
          </w:tcPr>
          <w:p w14:paraId="5B16988E"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0.489083</w:t>
            </w:r>
          </w:p>
        </w:tc>
      </w:tr>
      <w:tr w:rsidR="00755C75" w:rsidRPr="00755C75" w14:paraId="79BA9F85" w14:textId="77777777" w:rsidTr="00A96212">
        <w:trPr>
          <w:trHeight w:val="302"/>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23F6A9E8"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Market</w:t>
            </w:r>
          </w:p>
        </w:tc>
        <w:tc>
          <w:tcPr>
            <w:tcW w:w="2068" w:type="dxa"/>
            <w:tcBorders>
              <w:top w:val="nil"/>
              <w:left w:val="nil"/>
              <w:bottom w:val="single" w:sz="4" w:space="0" w:color="auto"/>
              <w:right w:val="single" w:sz="4" w:space="0" w:color="auto"/>
            </w:tcBorders>
            <w:shd w:val="clear" w:color="auto" w:fill="auto"/>
            <w:noWrap/>
            <w:vAlign w:val="bottom"/>
            <w:hideMark/>
          </w:tcPr>
          <w:p w14:paraId="48E0F8EE" w14:textId="77777777" w:rsidR="00755C75" w:rsidRPr="00755C75" w:rsidRDefault="00755C75" w:rsidP="00755C75">
            <w:pPr>
              <w:spacing w:after="0" w:line="240" w:lineRule="auto"/>
              <w:jc w:val="center"/>
              <w:rPr>
                <w:rFonts w:ascii="Times New Roman" w:eastAsia="Times New Roman" w:hAnsi="Times New Roman" w:cs="Times New Roman"/>
                <w:color w:val="000000"/>
                <w:kern w:val="0"/>
                <w:lang w:eastAsia="en-GB"/>
                <w14:ligatures w14:val="none"/>
              </w:rPr>
            </w:pPr>
            <w:r w:rsidRPr="00755C75">
              <w:rPr>
                <w:rFonts w:ascii="Times New Roman" w:eastAsia="Times New Roman" w:hAnsi="Times New Roman" w:cs="Times New Roman"/>
                <w:color w:val="000000"/>
                <w:kern w:val="0"/>
                <w:lang w:eastAsia="en-GB"/>
                <w14:ligatures w14:val="none"/>
              </w:rPr>
              <w:t>0.748083</w:t>
            </w:r>
          </w:p>
        </w:tc>
      </w:tr>
    </w:tbl>
    <w:p w14:paraId="26F9CCE0" w14:textId="77777777" w:rsidR="007D7DCD" w:rsidRDefault="007D7DCD" w:rsidP="007D7DCD">
      <w:pPr>
        <w:jc w:val="both"/>
        <w:rPr>
          <w:rFonts w:ascii="Times New Roman" w:hAnsi="Times New Roman" w:cs="Times New Roman"/>
        </w:rPr>
      </w:pPr>
    </w:p>
    <w:p w14:paraId="14020F29" w14:textId="4F79C6D1" w:rsidR="007D7DCD" w:rsidRDefault="007D7DCD" w:rsidP="007D7DCD">
      <w:pPr>
        <w:pStyle w:val="ListParagraph"/>
        <w:numPr>
          <w:ilvl w:val="0"/>
          <w:numId w:val="10"/>
        </w:numPr>
        <w:jc w:val="both"/>
        <w:rPr>
          <w:rFonts w:ascii="Times New Roman" w:hAnsi="Times New Roman" w:cs="Times New Roman"/>
        </w:rPr>
      </w:pPr>
      <w:r w:rsidRPr="007D7DCD">
        <w:rPr>
          <w:rFonts w:ascii="Times New Roman" w:hAnsi="Times New Roman" w:cs="Times New Roman"/>
        </w:rPr>
        <w:t>Regress the mean monthly returns of the ten industry portfolios and the market portfolio on the corresponding β's. This will give you the intercept and slope coefficients for the SML. (Note that the results may be very different from what you would expect!)</w:t>
      </w:r>
    </w:p>
    <w:p w14:paraId="05997692" w14:textId="55F862EE" w:rsidR="007D7DCD" w:rsidRDefault="007D7DCD" w:rsidP="007D7DCD">
      <w:pPr>
        <w:pStyle w:val="ListParagraph"/>
        <w:numPr>
          <w:ilvl w:val="1"/>
          <w:numId w:val="10"/>
        </w:numPr>
        <w:jc w:val="both"/>
        <w:rPr>
          <w:rFonts w:ascii="Times New Roman" w:hAnsi="Times New Roman" w:cs="Times New Roman"/>
        </w:rPr>
      </w:pPr>
      <w:r w:rsidRPr="007D7DCD">
        <w:rPr>
          <w:rFonts w:ascii="Times New Roman" w:hAnsi="Times New Roman" w:cs="Times New Roman"/>
        </w:rPr>
        <w:t>Use the estimated intercept and slope coefficients for the SML to plot the SML in the range of β from zero to two on the horizontal axis.</w:t>
      </w:r>
    </w:p>
    <w:p w14:paraId="0F597A74" w14:textId="51B33A00" w:rsidR="00755C75" w:rsidRPr="00DA03F9" w:rsidRDefault="00755C75" w:rsidP="00A96212">
      <w:pPr>
        <w:ind w:left="1080" w:firstLine="360"/>
        <w:jc w:val="both"/>
        <w:rPr>
          <w:rFonts w:ascii="Times New Roman" w:hAnsi="Times New Roman" w:cs="Times New Roman"/>
          <w:u w:val="single"/>
        </w:rPr>
      </w:pPr>
      <w:r w:rsidRPr="00DA03F9">
        <w:rPr>
          <w:rFonts w:ascii="Times New Roman" w:hAnsi="Times New Roman" w:cs="Times New Roman"/>
          <w:u w:val="single"/>
        </w:rPr>
        <w:t>Answer:</w:t>
      </w:r>
    </w:p>
    <w:p w14:paraId="637AB069" w14:textId="45687699" w:rsidR="007D7DCD" w:rsidRDefault="00755C75" w:rsidP="007D7DCD">
      <w:pPr>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SML </w:t>
      </w:r>
      <w:r w:rsidR="00D75C0D">
        <w:rPr>
          <w:rFonts w:ascii="Times New Roman" w:hAnsi="Times New Roman" w:cs="Times New Roman"/>
        </w:rPr>
        <w:t xml:space="preserve">slope coefficient </w:t>
      </w:r>
      <w:r w:rsidR="00B646A7">
        <w:rPr>
          <w:rFonts w:ascii="Times New Roman" w:hAnsi="Times New Roman" w:cs="Times New Roman"/>
        </w:rPr>
        <w:t xml:space="preserve"> = </w:t>
      </w:r>
      <w:r w:rsidRPr="00755C75">
        <w:rPr>
          <w:rFonts w:ascii="Times New Roman" w:hAnsi="Times New Roman" w:cs="Times New Roman"/>
        </w:rPr>
        <w:t>-0.18546745836573272</w:t>
      </w:r>
    </w:p>
    <w:p w14:paraId="658A097A" w14:textId="16FBD3E0" w:rsidR="00755C75" w:rsidRPr="00755C75" w:rsidRDefault="00755C75" w:rsidP="00755C75">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SML </w:t>
      </w:r>
      <w:r w:rsidR="00D75C0D">
        <w:rPr>
          <w:rFonts w:ascii="Times New Roman" w:hAnsi="Times New Roman" w:cs="Times New Roman"/>
        </w:rPr>
        <w:t>y-</w:t>
      </w:r>
      <w:r w:rsidR="00350C7E">
        <w:rPr>
          <w:rFonts w:ascii="Times New Roman" w:hAnsi="Times New Roman" w:cs="Times New Roman"/>
        </w:rPr>
        <w:t>intercept</w:t>
      </w:r>
      <w:r>
        <w:rPr>
          <w:rFonts w:ascii="Times New Roman" w:hAnsi="Times New Roman" w:cs="Times New Roman"/>
        </w:rPr>
        <w:t xml:space="preserve"> = </w:t>
      </w:r>
      <w:r w:rsidRPr="00755C75">
        <w:rPr>
          <w:rFonts w:ascii="Times New Roman" w:hAnsi="Times New Roman" w:cs="Times New Roman"/>
        </w:rPr>
        <w:t>1.0327683682657056</w:t>
      </w:r>
    </w:p>
    <w:p w14:paraId="64793A3C" w14:textId="5EAB2413" w:rsidR="007D7DCD" w:rsidRDefault="00755C75" w:rsidP="00755C75">
      <w:pPr>
        <w:jc w:val="center"/>
        <w:rPr>
          <w:rFonts w:ascii="Times New Roman" w:hAnsi="Times New Roman" w:cs="Times New Roman"/>
        </w:rPr>
      </w:pPr>
      <w:r>
        <w:rPr>
          <w:rFonts w:ascii="Times New Roman" w:hAnsi="Times New Roman" w:cs="Times New Roman"/>
          <w:noProof/>
        </w:rPr>
        <w:drawing>
          <wp:inline distT="0" distB="0" distL="0" distR="0" wp14:anchorId="4CAB8A3B" wp14:editId="000ED15F">
            <wp:extent cx="5432607" cy="3230311"/>
            <wp:effectExtent l="0" t="0" r="3175" b="0"/>
            <wp:docPr id="5625755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5547" name="Picture 5625755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1706" cy="3360591"/>
                    </a:xfrm>
                    <a:prstGeom prst="rect">
                      <a:avLst/>
                    </a:prstGeom>
                  </pic:spPr>
                </pic:pic>
              </a:graphicData>
            </a:graphic>
          </wp:inline>
        </w:drawing>
      </w:r>
    </w:p>
    <w:p w14:paraId="368A8B71" w14:textId="77777777" w:rsidR="000036B2" w:rsidRPr="007D7DCD" w:rsidRDefault="000036B2" w:rsidP="00755C75">
      <w:pPr>
        <w:jc w:val="center"/>
        <w:rPr>
          <w:rFonts w:ascii="Times New Roman" w:hAnsi="Times New Roman" w:cs="Times New Roman"/>
        </w:rPr>
      </w:pPr>
    </w:p>
    <w:p w14:paraId="2299CFA2" w14:textId="16C0CC1B" w:rsidR="007D7DCD" w:rsidRDefault="007D7DCD" w:rsidP="007D7DCD">
      <w:pPr>
        <w:pStyle w:val="ListParagraph"/>
        <w:numPr>
          <w:ilvl w:val="1"/>
          <w:numId w:val="10"/>
        </w:numPr>
        <w:jc w:val="both"/>
        <w:rPr>
          <w:rFonts w:ascii="Times New Roman" w:hAnsi="Times New Roman" w:cs="Times New Roman"/>
        </w:rPr>
      </w:pPr>
      <w:r w:rsidRPr="007D7DCD">
        <w:rPr>
          <w:rFonts w:ascii="Times New Roman" w:hAnsi="Times New Roman" w:cs="Times New Roman"/>
        </w:rPr>
        <w:t>Also plot the positions of the ten industry portfolios and the market portfolio. (You are NOT required to label the individual portfolios.)</w:t>
      </w:r>
    </w:p>
    <w:p w14:paraId="65E3A28A" w14:textId="08BFD409" w:rsidR="00755C75" w:rsidRPr="00755C75" w:rsidRDefault="00755C75" w:rsidP="00755C75">
      <w:pPr>
        <w:ind w:left="1440"/>
        <w:jc w:val="both"/>
        <w:rPr>
          <w:rFonts w:ascii="Times New Roman" w:hAnsi="Times New Roman" w:cs="Times New Roman"/>
          <w:u w:val="single"/>
        </w:rPr>
      </w:pPr>
      <w:r w:rsidRPr="00755C75">
        <w:rPr>
          <w:rFonts w:ascii="Times New Roman" w:hAnsi="Times New Roman" w:cs="Times New Roman"/>
          <w:u w:val="single"/>
        </w:rPr>
        <w:t>Answer:</w:t>
      </w:r>
    </w:p>
    <w:p w14:paraId="63CE8502" w14:textId="380767F6" w:rsidR="000036B2" w:rsidRDefault="00755C75" w:rsidP="000036B2">
      <w:pPr>
        <w:jc w:val="both"/>
        <w:rPr>
          <w:rFonts w:ascii="Times New Roman" w:hAnsi="Times New Roman" w:cs="Times New Roman"/>
        </w:rPr>
      </w:pPr>
      <w:r>
        <w:rPr>
          <w:rFonts w:ascii="Times New Roman" w:hAnsi="Times New Roman" w:cs="Times New Roman"/>
          <w:noProof/>
        </w:rPr>
        <w:drawing>
          <wp:inline distT="0" distB="0" distL="0" distR="0" wp14:anchorId="53B8EFB5" wp14:editId="3CF492DD">
            <wp:extent cx="5922236" cy="3590348"/>
            <wp:effectExtent l="0" t="0" r="0" b="3810"/>
            <wp:docPr id="1639916939" name="Picture 34" descr="A graph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16939" name="Picture 34" descr="A graph with green and re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1230" cy="3620050"/>
                    </a:xfrm>
                    <a:prstGeom prst="rect">
                      <a:avLst/>
                    </a:prstGeom>
                  </pic:spPr>
                </pic:pic>
              </a:graphicData>
            </a:graphic>
          </wp:inline>
        </w:drawing>
      </w:r>
    </w:p>
    <w:p w14:paraId="7A200ECD" w14:textId="77777777" w:rsidR="000036B2" w:rsidRPr="000036B2" w:rsidRDefault="000036B2" w:rsidP="000036B2">
      <w:pPr>
        <w:jc w:val="both"/>
        <w:rPr>
          <w:rFonts w:ascii="Times New Roman" w:hAnsi="Times New Roman" w:cs="Times New Roman"/>
        </w:rPr>
      </w:pPr>
    </w:p>
    <w:p w14:paraId="3B756690" w14:textId="2F798420" w:rsidR="007D7DCD" w:rsidRDefault="007D7DCD" w:rsidP="007D7DC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lang w:eastAsia="en-GB"/>
          <w14:ligatures w14:val="none"/>
        </w:rPr>
      </w:pPr>
      <w:r w:rsidRPr="007D7DCD">
        <w:rPr>
          <w:rFonts w:ascii="Times New Roman" w:eastAsia="Times New Roman" w:hAnsi="Times New Roman" w:cs="Times New Roman"/>
          <w:color w:val="202122"/>
          <w:spacing w:val="3"/>
          <w:kern w:val="0"/>
          <w:lang w:eastAsia="en-GB"/>
          <w14:ligatures w14:val="none"/>
        </w:rPr>
        <w:t>Briefly explain the economic significance and pricing implications of the SML.</w:t>
      </w:r>
    </w:p>
    <w:p w14:paraId="64B96E99" w14:textId="46F6D1FD" w:rsidR="00DA03F9" w:rsidRDefault="00DA03F9" w:rsidP="00A96212">
      <w:pPr>
        <w:shd w:val="clear" w:color="auto" w:fill="FFFFFF"/>
        <w:spacing w:before="100" w:beforeAutospacing="1" w:after="100" w:afterAutospacing="1" w:line="240" w:lineRule="auto"/>
        <w:ind w:left="720" w:firstLine="720"/>
        <w:rPr>
          <w:rFonts w:ascii="Times New Roman" w:eastAsia="Times New Roman" w:hAnsi="Times New Roman" w:cs="Times New Roman"/>
          <w:color w:val="202122"/>
          <w:spacing w:val="3"/>
          <w:kern w:val="0"/>
          <w:u w:val="single"/>
          <w:lang w:eastAsia="en-GB"/>
          <w14:ligatures w14:val="none"/>
        </w:rPr>
      </w:pPr>
      <w:r w:rsidRPr="00A96212">
        <w:rPr>
          <w:rFonts w:ascii="Times New Roman" w:eastAsia="Times New Roman" w:hAnsi="Times New Roman" w:cs="Times New Roman"/>
          <w:color w:val="202122"/>
          <w:spacing w:val="3"/>
          <w:kern w:val="0"/>
          <w:u w:val="single"/>
          <w:lang w:eastAsia="en-GB"/>
          <w14:ligatures w14:val="none"/>
        </w:rPr>
        <w:t>Answer:</w:t>
      </w:r>
    </w:p>
    <w:p w14:paraId="234FF1AB" w14:textId="3CDFAE32" w:rsidR="0088207D" w:rsidRDefault="0088207D" w:rsidP="00EA314D">
      <w:pPr>
        <w:shd w:val="clear" w:color="auto" w:fill="FFFFFF"/>
        <w:spacing w:before="100" w:beforeAutospacing="1" w:after="100" w:afterAutospacing="1" w:line="240" w:lineRule="auto"/>
        <w:ind w:left="1440"/>
        <w:jc w:val="both"/>
        <w:rPr>
          <w:rFonts w:ascii="Times New Roman" w:eastAsia="Times New Roman" w:hAnsi="Times New Roman" w:cs="Times New Roman"/>
          <w:color w:val="202122"/>
          <w:spacing w:val="3"/>
          <w:kern w:val="0"/>
          <w:lang w:eastAsia="en-GB"/>
          <w14:ligatures w14:val="none"/>
        </w:rPr>
      </w:pPr>
      <w:r>
        <w:rPr>
          <w:rFonts w:ascii="Times New Roman" w:eastAsia="Times New Roman" w:hAnsi="Times New Roman" w:cs="Times New Roman"/>
          <w:color w:val="202122"/>
          <w:spacing w:val="3"/>
          <w:kern w:val="0"/>
          <w:lang w:eastAsia="en-GB"/>
          <w14:ligatures w14:val="none"/>
        </w:rPr>
        <w:t xml:space="preserve">The </w:t>
      </w:r>
      <w:r w:rsidRPr="0088207D">
        <w:rPr>
          <w:rFonts w:ascii="Times New Roman" w:eastAsia="Times New Roman" w:hAnsi="Times New Roman" w:cs="Times New Roman"/>
          <w:color w:val="202122"/>
          <w:spacing w:val="3"/>
          <w:kern w:val="0"/>
          <w:u w:val="single"/>
          <w:lang w:eastAsia="en-GB"/>
          <w14:ligatures w14:val="none"/>
        </w:rPr>
        <w:t>economic significance</w:t>
      </w:r>
      <w:r>
        <w:rPr>
          <w:rFonts w:ascii="Times New Roman" w:eastAsia="Times New Roman" w:hAnsi="Times New Roman" w:cs="Times New Roman"/>
          <w:color w:val="202122"/>
          <w:spacing w:val="3"/>
          <w:kern w:val="0"/>
          <w:lang w:eastAsia="en-GB"/>
          <w14:ligatures w14:val="none"/>
        </w:rPr>
        <w:t xml:space="preserve"> </w:t>
      </w:r>
      <w:r w:rsidR="00D75C0D">
        <w:rPr>
          <w:rFonts w:ascii="Times New Roman" w:eastAsia="Times New Roman" w:hAnsi="Times New Roman" w:cs="Times New Roman"/>
          <w:color w:val="202122"/>
          <w:spacing w:val="3"/>
          <w:kern w:val="0"/>
          <w:lang w:eastAsia="en-GB"/>
          <w14:ligatures w14:val="none"/>
        </w:rPr>
        <w:t xml:space="preserve">of SML </w:t>
      </w:r>
      <w:r>
        <w:rPr>
          <w:rFonts w:ascii="Times New Roman" w:eastAsia="Times New Roman" w:hAnsi="Times New Roman" w:cs="Times New Roman"/>
          <w:color w:val="202122"/>
          <w:spacing w:val="3"/>
          <w:kern w:val="0"/>
          <w:lang w:eastAsia="en-GB"/>
          <w14:ligatures w14:val="none"/>
        </w:rPr>
        <w:t xml:space="preserve">is that </w:t>
      </w:r>
      <w:r w:rsidR="00F60B3E">
        <w:rPr>
          <w:rFonts w:ascii="Times New Roman" w:eastAsia="Times New Roman" w:hAnsi="Times New Roman" w:cs="Times New Roman"/>
          <w:color w:val="202122"/>
          <w:spacing w:val="3"/>
          <w:kern w:val="0"/>
          <w:lang w:eastAsia="en-GB"/>
          <w14:ligatures w14:val="none"/>
        </w:rPr>
        <w:t>it is a graphical representation of CAPM pricing formula</w:t>
      </w:r>
      <w:r w:rsidR="00BA79F5">
        <w:rPr>
          <w:rFonts w:ascii="Times New Roman" w:eastAsia="Times New Roman" w:hAnsi="Times New Roman" w:cs="Times New Roman"/>
          <w:color w:val="202122"/>
          <w:spacing w:val="3"/>
          <w:kern w:val="0"/>
          <w:lang w:eastAsia="en-GB"/>
          <w14:ligatures w14:val="none"/>
        </w:rPr>
        <w:t xml:space="preserve"> that applies to every asset portfolio</w:t>
      </w:r>
      <w:r w:rsidR="00F60B3E">
        <w:rPr>
          <w:rFonts w:ascii="Times New Roman" w:eastAsia="Times New Roman" w:hAnsi="Times New Roman" w:cs="Times New Roman"/>
          <w:color w:val="202122"/>
          <w:spacing w:val="3"/>
          <w:kern w:val="0"/>
          <w:lang w:eastAsia="en-GB"/>
          <w14:ligatures w14:val="none"/>
        </w:rPr>
        <w:t>. T</w:t>
      </w:r>
      <w:r>
        <w:rPr>
          <w:rFonts w:ascii="Times New Roman" w:eastAsia="Times New Roman" w:hAnsi="Times New Roman" w:cs="Times New Roman"/>
          <w:color w:val="202122"/>
          <w:spacing w:val="3"/>
          <w:kern w:val="0"/>
          <w:lang w:eastAsia="en-GB"/>
          <w14:ligatures w14:val="none"/>
        </w:rPr>
        <w:t xml:space="preserve">he </w:t>
      </w:r>
      <w:r w:rsidR="00F60B3E">
        <w:rPr>
          <w:rFonts w:ascii="Times New Roman" w:eastAsia="Times New Roman" w:hAnsi="Times New Roman" w:cs="Times New Roman"/>
          <w:color w:val="202122"/>
          <w:spacing w:val="3"/>
          <w:kern w:val="0"/>
          <w:lang w:eastAsia="en-GB"/>
          <w14:ligatures w14:val="none"/>
        </w:rPr>
        <w:t xml:space="preserve">SML </w:t>
      </w:r>
      <w:r>
        <w:rPr>
          <w:rFonts w:ascii="Times New Roman" w:eastAsia="Times New Roman" w:hAnsi="Times New Roman" w:cs="Times New Roman"/>
          <w:color w:val="202122"/>
          <w:spacing w:val="3"/>
          <w:kern w:val="0"/>
          <w:lang w:eastAsia="en-GB"/>
          <w14:ligatures w14:val="none"/>
        </w:rPr>
        <w:t xml:space="preserve">slope </w:t>
      </w:r>
      <w:r w:rsidR="00D75C0D">
        <w:rPr>
          <w:rFonts w:ascii="Times New Roman" w:eastAsia="Times New Roman" w:hAnsi="Times New Roman" w:cs="Times New Roman"/>
          <w:color w:val="202122"/>
          <w:spacing w:val="3"/>
          <w:kern w:val="0"/>
          <w:lang w:eastAsia="en-GB"/>
          <w14:ligatures w14:val="none"/>
        </w:rPr>
        <w:t>represents the ratio of risk premium to beta, or Treynor ratio</w:t>
      </w:r>
      <w:r w:rsidR="00E0020F">
        <w:rPr>
          <w:rFonts w:ascii="Times New Roman" w:eastAsia="Times New Roman" w:hAnsi="Times New Roman" w:cs="Times New Roman"/>
          <w:color w:val="202122"/>
          <w:spacing w:val="3"/>
          <w:kern w:val="0"/>
          <w:lang w:eastAsia="en-GB"/>
          <w14:ligatures w14:val="none"/>
        </w:rPr>
        <w:t xml:space="preserve"> (which calculates excess return over systematic risk)</w:t>
      </w:r>
      <w:r w:rsidR="00BA79F5">
        <w:rPr>
          <w:rFonts w:ascii="Times New Roman" w:eastAsia="Times New Roman" w:hAnsi="Times New Roman" w:cs="Times New Roman"/>
          <w:color w:val="202122"/>
          <w:spacing w:val="3"/>
          <w:kern w:val="0"/>
          <w:lang w:eastAsia="en-GB"/>
          <w14:ligatures w14:val="none"/>
        </w:rPr>
        <w:t xml:space="preserve">. Hence, </w:t>
      </w:r>
      <w:r w:rsidR="00D75C0D">
        <w:rPr>
          <w:rFonts w:ascii="Times New Roman" w:eastAsia="Times New Roman" w:hAnsi="Times New Roman" w:cs="Times New Roman"/>
          <w:color w:val="202122"/>
          <w:spacing w:val="3"/>
          <w:kern w:val="0"/>
          <w:lang w:eastAsia="en-GB"/>
          <w14:ligatures w14:val="none"/>
        </w:rPr>
        <w:t xml:space="preserve">all risky assets and portfolios must have the same Treynor ratio, in equilibrium. </w:t>
      </w:r>
    </w:p>
    <w:p w14:paraId="10B94583" w14:textId="77777777" w:rsidR="0088207D" w:rsidRDefault="0088207D" w:rsidP="00EA314D">
      <w:pPr>
        <w:shd w:val="clear" w:color="auto" w:fill="FFFFFF"/>
        <w:spacing w:before="100" w:beforeAutospacing="1" w:after="100" w:afterAutospacing="1" w:line="240" w:lineRule="auto"/>
        <w:ind w:left="1440"/>
        <w:jc w:val="both"/>
        <w:rPr>
          <w:rFonts w:ascii="Times New Roman" w:eastAsia="Times New Roman" w:hAnsi="Times New Roman" w:cs="Times New Roman"/>
          <w:color w:val="202122"/>
          <w:spacing w:val="3"/>
          <w:kern w:val="0"/>
          <w:lang w:eastAsia="en-GB"/>
          <w14:ligatures w14:val="none"/>
        </w:rPr>
      </w:pPr>
      <w:r>
        <w:rPr>
          <w:rFonts w:ascii="Times New Roman" w:eastAsia="Times New Roman" w:hAnsi="Times New Roman" w:cs="Times New Roman"/>
          <w:color w:val="202122"/>
          <w:spacing w:val="3"/>
          <w:kern w:val="0"/>
          <w:lang w:eastAsia="en-GB"/>
          <w14:ligatures w14:val="none"/>
        </w:rPr>
        <w:t xml:space="preserve">The </w:t>
      </w:r>
      <w:r w:rsidRPr="0088207D">
        <w:rPr>
          <w:rFonts w:ascii="Times New Roman" w:eastAsia="Times New Roman" w:hAnsi="Times New Roman" w:cs="Times New Roman"/>
          <w:color w:val="202122"/>
          <w:spacing w:val="3"/>
          <w:kern w:val="0"/>
          <w:u w:val="single"/>
          <w:lang w:eastAsia="en-GB"/>
          <w14:ligatures w14:val="none"/>
        </w:rPr>
        <w:t>pricing implication</w:t>
      </w:r>
      <w:r>
        <w:rPr>
          <w:rFonts w:ascii="Times New Roman" w:eastAsia="Times New Roman" w:hAnsi="Times New Roman" w:cs="Times New Roman"/>
          <w:color w:val="202122"/>
          <w:spacing w:val="3"/>
          <w:kern w:val="0"/>
          <w:lang w:eastAsia="en-GB"/>
          <w14:ligatures w14:val="none"/>
        </w:rPr>
        <w:t xml:space="preserve"> of SML is that:</w:t>
      </w:r>
    </w:p>
    <w:p w14:paraId="4EAC0449" w14:textId="10C9A516" w:rsidR="0088207D" w:rsidRDefault="0088207D" w:rsidP="0088207D">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202122"/>
          <w:spacing w:val="3"/>
          <w:kern w:val="0"/>
          <w:lang w:eastAsia="en-GB"/>
          <w14:ligatures w14:val="none"/>
        </w:rPr>
      </w:pPr>
      <w:r>
        <w:rPr>
          <w:rFonts w:ascii="Times New Roman" w:eastAsia="Times New Roman" w:hAnsi="Times New Roman" w:cs="Times New Roman"/>
          <w:color w:val="202122"/>
          <w:spacing w:val="3"/>
          <w:kern w:val="0"/>
          <w:lang w:eastAsia="en-GB"/>
          <w14:ligatures w14:val="none"/>
        </w:rPr>
        <w:t>A</w:t>
      </w:r>
      <w:r w:rsidR="00A96212" w:rsidRPr="0088207D">
        <w:rPr>
          <w:rFonts w:ascii="Times New Roman" w:eastAsia="Times New Roman" w:hAnsi="Times New Roman" w:cs="Times New Roman"/>
          <w:color w:val="202122"/>
          <w:spacing w:val="3"/>
          <w:kern w:val="0"/>
          <w:lang w:eastAsia="en-GB"/>
          <w14:ligatures w14:val="none"/>
        </w:rPr>
        <w:t xml:space="preserve">sset </w:t>
      </w:r>
      <w:r>
        <w:rPr>
          <w:rFonts w:ascii="Times New Roman" w:eastAsia="Times New Roman" w:hAnsi="Times New Roman" w:cs="Times New Roman"/>
          <w:color w:val="202122"/>
          <w:spacing w:val="3"/>
          <w:kern w:val="0"/>
          <w:lang w:eastAsia="en-GB"/>
          <w14:ligatures w14:val="none"/>
        </w:rPr>
        <w:t xml:space="preserve">that lies </w:t>
      </w:r>
      <w:r w:rsidR="00A96212" w:rsidRPr="0088207D">
        <w:rPr>
          <w:rFonts w:ascii="Times New Roman" w:eastAsia="Times New Roman" w:hAnsi="Times New Roman" w:cs="Times New Roman"/>
          <w:color w:val="202122"/>
          <w:spacing w:val="3"/>
          <w:kern w:val="0"/>
          <w:lang w:eastAsia="en-GB"/>
          <w14:ligatures w14:val="none"/>
        </w:rPr>
        <w:t xml:space="preserve">above </w:t>
      </w:r>
      <w:r>
        <w:rPr>
          <w:rFonts w:ascii="Times New Roman" w:eastAsia="Times New Roman" w:hAnsi="Times New Roman" w:cs="Times New Roman"/>
          <w:color w:val="202122"/>
          <w:spacing w:val="3"/>
          <w:kern w:val="0"/>
          <w:lang w:eastAsia="en-GB"/>
          <w14:ligatures w14:val="none"/>
        </w:rPr>
        <w:t xml:space="preserve">the </w:t>
      </w:r>
      <w:r w:rsidR="00A96212" w:rsidRPr="0088207D">
        <w:rPr>
          <w:rFonts w:ascii="Times New Roman" w:eastAsia="Times New Roman" w:hAnsi="Times New Roman" w:cs="Times New Roman"/>
          <w:color w:val="202122"/>
          <w:spacing w:val="3"/>
          <w:kern w:val="0"/>
          <w:lang w:eastAsia="en-GB"/>
          <w14:ligatures w14:val="none"/>
        </w:rPr>
        <w:t xml:space="preserve">SML are underpriced, which will offer higher returns for their risk level, so investors will buy, which drives up the price and will eventually lower the expected return. </w:t>
      </w:r>
    </w:p>
    <w:p w14:paraId="279803A1" w14:textId="22CEE8FA" w:rsidR="0088207D" w:rsidRDefault="0088207D" w:rsidP="0088207D">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202122"/>
          <w:spacing w:val="3"/>
          <w:kern w:val="0"/>
          <w:lang w:eastAsia="en-GB"/>
          <w14:ligatures w14:val="none"/>
        </w:rPr>
      </w:pPr>
      <w:r>
        <w:rPr>
          <w:rFonts w:ascii="Times New Roman" w:eastAsia="Times New Roman" w:hAnsi="Times New Roman" w:cs="Times New Roman"/>
          <w:color w:val="202122"/>
          <w:spacing w:val="3"/>
          <w:kern w:val="0"/>
          <w:lang w:eastAsia="en-GB"/>
          <w14:ligatures w14:val="none"/>
        </w:rPr>
        <w:t>Asset</w:t>
      </w:r>
      <w:r w:rsidR="00A96212" w:rsidRPr="0088207D">
        <w:rPr>
          <w:rFonts w:ascii="Times New Roman" w:eastAsia="Times New Roman" w:hAnsi="Times New Roman" w:cs="Times New Roman"/>
          <w:color w:val="202122"/>
          <w:spacing w:val="3"/>
          <w:kern w:val="0"/>
          <w:lang w:eastAsia="en-GB"/>
          <w14:ligatures w14:val="none"/>
        </w:rPr>
        <w:t xml:space="preserve"> </w:t>
      </w:r>
      <w:r>
        <w:rPr>
          <w:rFonts w:ascii="Times New Roman" w:eastAsia="Times New Roman" w:hAnsi="Times New Roman" w:cs="Times New Roman"/>
          <w:color w:val="202122"/>
          <w:spacing w:val="3"/>
          <w:kern w:val="0"/>
          <w:lang w:eastAsia="en-GB"/>
          <w14:ligatures w14:val="none"/>
        </w:rPr>
        <w:t xml:space="preserve">that lies </w:t>
      </w:r>
      <w:r w:rsidR="00A96212" w:rsidRPr="0088207D">
        <w:rPr>
          <w:rFonts w:ascii="Times New Roman" w:eastAsia="Times New Roman" w:hAnsi="Times New Roman" w:cs="Times New Roman"/>
          <w:color w:val="202122"/>
          <w:spacing w:val="3"/>
          <w:kern w:val="0"/>
          <w:lang w:eastAsia="en-GB"/>
          <w14:ligatures w14:val="none"/>
        </w:rPr>
        <w:t xml:space="preserve">below the SML are overpriced, </w:t>
      </w:r>
      <w:r>
        <w:rPr>
          <w:rFonts w:ascii="Times New Roman" w:eastAsia="Times New Roman" w:hAnsi="Times New Roman" w:cs="Times New Roman"/>
          <w:color w:val="202122"/>
          <w:spacing w:val="3"/>
          <w:kern w:val="0"/>
          <w:lang w:eastAsia="en-GB"/>
          <w14:ligatures w14:val="none"/>
        </w:rPr>
        <w:t>so investors will sell assets,</w:t>
      </w:r>
      <w:r w:rsidR="00A96212" w:rsidRPr="0088207D">
        <w:rPr>
          <w:rFonts w:ascii="Times New Roman" w:eastAsia="Times New Roman" w:hAnsi="Times New Roman" w:cs="Times New Roman"/>
          <w:color w:val="202122"/>
          <w:spacing w:val="3"/>
          <w:kern w:val="0"/>
          <w:lang w:eastAsia="en-GB"/>
          <w14:ligatures w14:val="none"/>
        </w:rPr>
        <w:t xml:space="preserve"> </w:t>
      </w:r>
      <w:r>
        <w:rPr>
          <w:rFonts w:ascii="Times New Roman" w:eastAsia="Times New Roman" w:hAnsi="Times New Roman" w:cs="Times New Roman"/>
          <w:color w:val="202122"/>
          <w:spacing w:val="3"/>
          <w:kern w:val="0"/>
          <w:lang w:eastAsia="en-GB"/>
          <w14:ligatures w14:val="none"/>
        </w:rPr>
        <w:t>causing the price to fall</w:t>
      </w:r>
      <w:r w:rsidR="00A96212" w:rsidRPr="0088207D">
        <w:rPr>
          <w:rFonts w:ascii="Times New Roman" w:eastAsia="Times New Roman" w:hAnsi="Times New Roman" w:cs="Times New Roman"/>
          <w:color w:val="202122"/>
          <w:spacing w:val="3"/>
          <w:kern w:val="0"/>
          <w:lang w:eastAsia="en-GB"/>
          <w14:ligatures w14:val="none"/>
        </w:rPr>
        <w:t xml:space="preserve"> and raise expected return. </w:t>
      </w:r>
    </w:p>
    <w:p w14:paraId="39540715" w14:textId="3B23F6C8" w:rsidR="00A96212" w:rsidRPr="0088207D" w:rsidRDefault="00A96212" w:rsidP="0088207D">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202122"/>
          <w:spacing w:val="3"/>
          <w:kern w:val="0"/>
          <w:lang w:eastAsia="en-GB"/>
          <w14:ligatures w14:val="none"/>
        </w:rPr>
      </w:pPr>
      <w:r w:rsidRPr="0088207D">
        <w:rPr>
          <w:rFonts w:ascii="Times New Roman" w:eastAsia="Times New Roman" w:hAnsi="Times New Roman" w:cs="Times New Roman"/>
          <w:color w:val="202122"/>
          <w:spacing w:val="3"/>
          <w:kern w:val="0"/>
          <w:lang w:eastAsia="en-GB"/>
          <w14:ligatures w14:val="none"/>
        </w:rPr>
        <w:t>Price will rise or fall until the asset is back to SML, reflecting their fair price given the level of risk</w:t>
      </w:r>
      <w:r w:rsidR="00F60B3E">
        <w:rPr>
          <w:rFonts w:ascii="Times New Roman" w:eastAsia="Times New Roman" w:hAnsi="Times New Roman" w:cs="Times New Roman"/>
          <w:color w:val="202122"/>
          <w:spacing w:val="3"/>
          <w:kern w:val="0"/>
          <w:lang w:eastAsia="en-GB"/>
          <w14:ligatures w14:val="none"/>
        </w:rPr>
        <w:t>, according to CAPM.</w:t>
      </w:r>
    </w:p>
    <w:p w14:paraId="0381028D" w14:textId="2FCC5F8D" w:rsidR="007D7DCD" w:rsidRPr="007D7DCD" w:rsidRDefault="007D7DCD" w:rsidP="007D7DCD">
      <w:pPr>
        <w:pStyle w:val="ListParagraph"/>
        <w:ind w:left="1440"/>
        <w:jc w:val="both"/>
        <w:rPr>
          <w:rFonts w:ascii="Times New Roman" w:hAnsi="Times New Roman" w:cs="Times New Roman"/>
        </w:rPr>
      </w:pPr>
    </w:p>
    <w:p w14:paraId="034FF9F4" w14:textId="77777777" w:rsidR="007D7DCD" w:rsidRPr="007D7DCD" w:rsidRDefault="007D7DCD" w:rsidP="007D7DCD">
      <w:pPr>
        <w:jc w:val="both"/>
        <w:rPr>
          <w:rFonts w:ascii="Times New Roman" w:hAnsi="Times New Roman" w:cs="Times New Roman"/>
          <w:sz w:val="28"/>
          <w:szCs w:val="28"/>
        </w:rPr>
      </w:pPr>
    </w:p>
    <w:p w14:paraId="6B4DB653" w14:textId="0F39BC3B" w:rsidR="00E6771A" w:rsidRPr="00893C72" w:rsidRDefault="00E6771A" w:rsidP="001A42DC">
      <w:pPr>
        <w:shd w:val="clear" w:color="auto" w:fill="FFFFFF"/>
        <w:spacing w:before="100" w:beforeAutospacing="1" w:after="100" w:afterAutospacing="1" w:line="240" w:lineRule="auto"/>
        <w:ind w:left="720"/>
        <w:jc w:val="both"/>
        <w:rPr>
          <w:rFonts w:ascii="Times New Roman" w:eastAsia="Times New Roman" w:hAnsi="Times New Roman" w:cs="Times New Roman"/>
          <w:color w:val="202122"/>
          <w:spacing w:val="3"/>
          <w:kern w:val="0"/>
          <w:lang w:eastAsia="en-GB"/>
          <w14:ligatures w14:val="none"/>
        </w:rPr>
      </w:pPr>
    </w:p>
    <w:p w14:paraId="0F164427" w14:textId="64F91E99" w:rsidR="00E6771A" w:rsidRPr="00E6771A" w:rsidRDefault="00E6771A" w:rsidP="001A42DC">
      <w:pPr>
        <w:shd w:val="clear" w:color="auto" w:fill="FFFFFF"/>
        <w:spacing w:before="100" w:beforeAutospacing="1" w:after="100" w:afterAutospacing="1" w:line="240" w:lineRule="auto"/>
        <w:ind w:left="1080"/>
        <w:jc w:val="both"/>
        <w:rPr>
          <w:rFonts w:ascii="Lato" w:eastAsia="Times New Roman" w:hAnsi="Lato" w:cs="Times New Roman"/>
          <w:color w:val="202122"/>
          <w:spacing w:val="3"/>
          <w:kern w:val="0"/>
          <w:lang w:eastAsia="en-GB"/>
          <w14:ligatures w14:val="none"/>
        </w:rPr>
      </w:pPr>
    </w:p>
    <w:p w14:paraId="73D2ABC3" w14:textId="350216D6" w:rsidR="009A7D9B" w:rsidRPr="00193D75" w:rsidRDefault="009A7D9B" w:rsidP="00193D75">
      <w:pPr>
        <w:shd w:val="clear" w:color="auto" w:fill="FFFFFF"/>
        <w:spacing w:before="100" w:beforeAutospacing="1" w:after="100" w:afterAutospacing="1" w:line="240" w:lineRule="auto"/>
        <w:jc w:val="both"/>
        <w:rPr>
          <w:rFonts w:ascii="Lato" w:eastAsia="Times New Roman" w:hAnsi="Lato" w:cs="Times New Roman"/>
          <w:color w:val="202122"/>
          <w:spacing w:val="3"/>
          <w:kern w:val="0"/>
          <w:lang w:eastAsia="en-GB"/>
          <w14:ligatures w14:val="none"/>
        </w:rPr>
      </w:pPr>
    </w:p>
    <w:sectPr w:rsidR="009A7D9B" w:rsidRPr="00193D7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4B687" w14:textId="77777777" w:rsidR="00C32868" w:rsidRDefault="00C32868" w:rsidP="00C94F28">
      <w:pPr>
        <w:spacing w:after="0" w:line="240" w:lineRule="auto"/>
      </w:pPr>
      <w:r>
        <w:separator/>
      </w:r>
    </w:p>
  </w:endnote>
  <w:endnote w:type="continuationSeparator" w:id="0">
    <w:p w14:paraId="3826FDFC" w14:textId="77777777" w:rsidR="00C32868" w:rsidRDefault="00C32868" w:rsidP="00C94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9D603" w14:textId="77777777" w:rsidR="00C32868" w:rsidRDefault="00C32868" w:rsidP="00C94F28">
      <w:pPr>
        <w:spacing w:after="0" w:line="240" w:lineRule="auto"/>
      </w:pPr>
      <w:r>
        <w:separator/>
      </w:r>
    </w:p>
  </w:footnote>
  <w:footnote w:type="continuationSeparator" w:id="0">
    <w:p w14:paraId="61939133" w14:textId="77777777" w:rsidR="00C32868" w:rsidRDefault="00C32868" w:rsidP="00C94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6DFE" w14:textId="1E6088FB" w:rsidR="00C94F28" w:rsidRPr="00C94F28" w:rsidRDefault="00AC2811" w:rsidP="00C94F28">
    <w:pPr>
      <w:pStyle w:val="Header"/>
      <w:rPr>
        <w:rFonts w:ascii="Times New Roman" w:hAnsi="Times New Roman" w:cs="Times New Roman"/>
        <w:lang w:val="en-US"/>
      </w:rPr>
    </w:pPr>
    <w:r>
      <w:rPr>
        <w:rFonts w:ascii="Times New Roman" w:hAnsi="Times New Roman" w:cs="Times New Roman"/>
        <w:lang w:val="en-US"/>
      </w:rPr>
      <w:t xml:space="preserve">Name: </w:t>
    </w:r>
    <w:r w:rsidR="00C94F28" w:rsidRPr="00C94F28">
      <w:rPr>
        <w:rFonts w:ascii="Times New Roman" w:hAnsi="Times New Roman" w:cs="Times New Roman"/>
        <w:lang w:val="en-US"/>
      </w:rPr>
      <w:t xml:space="preserve">Kevin Montana Wongso                </w:t>
    </w:r>
    <w:r>
      <w:rPr>
        <w:rFonts w:ascii="Times New Roman" w:hAnsi="Times New Roman" w:cs="Times New Roman"/>
        <w:lang w:val="en-US"/>
      </w:rPr>
      <w:t xml:space="preserve">                                               Student ID: </w:t>
    </w:r>
    <w:r w:rsidR="00C94F28">
      <w:rPr>
        <w:rFonts w:ascii="Times New Roman" w:hAnsi="Times New Roman" w:cs="Times New Roman"/>
        <w:lang w:val="en-US"/>
      </w:rPr>
      <w:t>01501554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15279"/>
    <w:multiLevelType w:val="multilevel"/>
    <w:tmpl w:val="62F4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069B5"/>
    <w:multiLevelType w:val="multilevel"/>
    <w:tmpl w:val="344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B32F7"/>
    <w:multiLevelType w:val="hybridMultilevel"/>
    <w:tmpl w:val="018CB0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926B83"/>
    <w:multiLevelType w:val="multilevel"/>
    <w:tmpl w:val="9528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5B0033"/>
    <w:multiLevelType w:val="multilevel"/>
    <w:tmpl w:val="C3C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32465D"/>
    <w:multiLevelType w:val="hybridMultilevel"/>
    <w:tmpl w:val="9BA82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E6490C"/>
    <w:multiLevelType w:val="multilevel"/>
    <w:tmpl w:val="3738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A66DF5"/>
    <w:multiLevelType w:val="hybridMultilevel"/>
    <w:tmpl w:val="BCA8F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3E5DF7"/>
    <w:multiLevelType w:val="multilevel"/>
    <w:tmpl w:val="3D0E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3D121D"/>
    <w:multiLevelType w:val="hybridMultilevel"/>
    <w:tmpl w:val="7DEC2634"/>
    <w:lvl w:ilvl="0" w:tplc="E5FA3AD6">
      <w:start w:val="5"/>
      <w:numFmt w:val="bullet"/>
      <w:lvlText w:val="-"/>
      <w:lvlJc w:val="left"/>
      <w:pPr>
        <w:ind w:left="1080" w:hanging="360"/>
      </w:pPr>
      <w:rPr>
        <w:rFonts w:ascii="Lato" w:eastAsia="Times New Roman" w:hAnsi="Lato"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5CC5370"/>
    <w:multiLevelType w:val="hybridMultilevel"/>
    <w:tmpl w:val="DB528DA8"/>
    <w:lvl w:ilvl="0" w:tplc="0809000F">
      <w:start w:val="1"/>
      <w:numFmt w:val="decimal"/>
      <w:lvlText w:val="%1."/>
      <w:lvlJc w:val="left"/>
      <w:pPr>
        <w:ind w:left="720" w:hanging="360"/>
      </w:pPr>
      <w:rPr>
        <w:rFonts w:hint="default"/>
      </w:rPr>
    </w:lvl>
    <w:lvl w:ilvl="1" w:tplc="398AD588">
      <w:start w:val="1"/>
      <w:numFmt w:val="lowerLetter"/>
      <w:lvlText w:val="%2."/>
      <w:lvlJc w:val="left"/>
      <w:pPr>
        <w:ind w:left="1440" w:hanging="360"/>
      </w:pPr>
      <w:rPr>
        <w:sz w:val="24"/>
        <w:szCs w:val="24"/>
      </w:rPr>
    </w:lvl>
    <w:lvl w:ilvl="2" w:tplc="0DC6A8F2">
      <w:start w:val="1"/>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AF68EB"/>
    <w:multiLevelType w:val="hybridMultilevel"/>
    <w:tmpl w:val="70A6FCDE"/>
    <w:lvl w:ilvl="0" w:tplc="E18090A4">
      <w:start w:val="1"/>
      <w:numFmt w:val="bullet"/>
      <w:lvlText w:val=""/>
      <w:lvlJc w:val="left"/>
      <w:pPr>
        <w:ind w:left="1800" w:hanging="360"/>
      </w:pPr>
      <w:rPr>
        <w:rFonts w:ascii="Symbol" w:eastAsiaTheme="minorHAnsi" w:hAnsi="Symbol" w:cs="Times New Roman" w:hint="default"/>
        <w:b/>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775121D3"/>
    <w:multiLevelType w:val="hybridMultilevel"/>
    <w:tmpl w:val="BEF40DB6"/>
    <w:lvl w:ilvl="0" w:tplc="85DCBC2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7286716">
    <w:abstractNumId w:val="7"/>
  </w:num>
  <w:num w:numId="2" w16cid:durableId="928467392">
    <w:abstractNumId w:val="2"/>
  </w:num>
  <w:num w:numId="3" w16cid:durableId="575479558">
    <w:abstractNumId w:val="3"/>
  </w:num>
  <w:num w:numId="4" w16cid:durableId="1740858275">
    <w:abstractNumId w:val="12"/>
  </w:num>
  <w:num w:numId="5" w16cid:durableId="899947367">
    <w:abstractNumId w:val="9"/>
  </w:num>
  <w:num w:numId="6" w16cid:durableId="1905023845">
    <w:abstractNumId w:val="1"/>
  </w:num>
  <w:num w:numId="7" w16cid:durableId="1900625832">
    <w:abstractNumId w:val="4"/>
  </w:num>
  <w:num w:numId="8" w16cid:durableId="1905263734">
    <w:abstractNumId w:val="0"/>
  </w:num>
  <w:num w:numId="9" w16cid:durableId="1111165867">
    <w:abstractNumId w:val="5"/>
  </w:num>
  <w:num w:numId="10" w16cid:durableId="1573197854">
    <w:abstractNumId w:val="10"/>
  </w:num>
  <w:num w:numId="11" w16cid:durableId="142087281">
    <w:abstractNumId w:val="8"/>
  </w:num>
  <w:num w:numId="12" w16cid:durableId="1658803288">
    <w:abstractNumId w:val="6"/>
  </w:num>
  <w:num w:numId="13" w16cid:durableId="7528938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28"/>
    <w:rsid w:val="000036B2"/>
    <w:rsid w:val="00020A0F"/>
    <w:rsid w:val="000E182E"/>
    <w:rsid w:val="00135C75"/>
    <w:rsid w:val="00193D75"/>
    <w:rsid w:val="001A42DC"/>
    <w:rsid w:val="00282BBE"/>
    <w:rsid w:val="00287117"/>
    <w:rsid w:val="002D33DD"/>
    <w:rsid w:val="002D3F61"/>
    <w:rsid w:val="002F42CD"/>
    <w:rsid w:val="00350C7E"/>
    <w:rsid w:val="00357E03"/>
    <w:rsid w:val="003B1132"/>
    <w:rsid w:val="00400D15"/>
    <w:rsid w:val="00491474"/>
    <w:rsid w:val="00500CDD"/>
    <w:rsid w:val="00524CC1"/>
    <w:rsid w:val="00535877"/>
    <w:rsid w:val="005371B7"/>
    <w:rsid w:val="00590F44"/>
    <w:rsid w:val="00594DEC"/>
    <w:rsid w:val="005A3836"/>
    <w:rsid w:val="005D2438"/>
    <w:rsid w:val="005E74AA"/>
    <w:rsid w:val="00607DEF"/>
    <w:rsid w:val="006251BB"/>
    <w:rsid w:val="006C3A25"/>
    <w:rsid w:val="00755C75"/>
    <w:rsid w:val="0076781A"/>
    <w:rsid w:val="00790304"/>
    <w:rsid w:val="00796A10"/>
    <w:rsid w:val="007A1810"/>
    <w:rsid w:val="007D7DCD"/>
    <w:rsid w:val="00832296"/>
    <w:rsid w:val="00850FAE"/>
    <w:rsid w:val="0085164B"/>
    <w:rsid w:val="00880BCC"/>
    <w:rsid w:val="00881663"/>
    <w:rsid w:val="0088207D"/>
    <w:rsid w:val="00893C72"/>
    <w:rsid w:val="008D21BB"/>
    <w:rsid w:val="008D3D69"/>
    <w:rsid w:val="00922F27"/>
    <w:rsid w:val="009A7D9B"/>
    <w:rsid w:val="00A21CB2"/>
    <w:rsid w:val="00A96212"/>
    <w:rsid w:val="00AB1850"/>
    <w:rsid w:val="00AC2811"/>
    <w:rsid w:val="00B646A7"/>
    <w:rsid w:val="00B93E5C"/>
    <w:rsid w:val="00BA79F5"/>
    <w:rsid w:val="00BB75A7"/>
    <w:rsid w:val="00BC63F0"/>
    <w:rsid w:val="00BE6338"/>
    <w:rsid w:val="00C32868"/>
    <w:rsid w:val="00C61550"/>
    <w:rsid w:val="00C943F9"/>
    <w:rsid w:val="00C94F28"/>
    <w:rsid w:val="00CB3772"/>
    <w:rsid w:val="00D26570"/>
    <w:rsid w:val="00D5301E"/>
    <w:rsid w:val="00D714E3"/>
    <w:rsid w:val="00D75C0D"/>
    <w:rsid w:val="00DA03F9"/>
    <w:rsid w:val="00DF6922"/>
    <w:rsid w:val="00E0020F"/>
    <w:rsid w:val="00E615B2"/>
    <w:rsid w:val="00E6771A"/>
    <w:rsid w:val="00E811C7"/>
    <w:rsid w:val="00E93B0B"/>
    <w:rsid w:val="00EA314D"/>
    <w:rsid w:val="00EC781B"/>
    <w:rsid w:val="00ED0802"/>
    <w:rsid w:val="00EF3524"/>
    <w:rsid w:val="00F4700D"/>
    <w:rsid w:val="00F60B3E"/>
    <w:rsid w:val="00F6697A"/>
    <w:rsid w:val="00F76791"/>
    <w:rsid w:val="00F92BD3"/>
    <w:rsid w:val="00FA2370"/>
    <w:rsid w:val="00FC2A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174A"/>
  <w15:chartTrackingRefBased/>
  <w15:docId w15:val="{960F6044-A0AE-5241-9871-59CC1F04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F28"/>
    <w:rPr>
      <w:rFonts w:eastAsiaTheme="majorEastAsia" w:cstheme="majorBidi"/>
      <w:color w:val="272727" w:themeColor="text1" w:themeTint="D8"/>
    </w:rPr>
  </w:style>
  <w:style w:type="paragraph" w:styleId="Title">
    <w:name w:val="Title"/>
    <w:basedOn w:val="Normal"/>
    <w:next w:val="Normal"/>
    <w:link w:val="TitleChar"/>
    <w:uiPriority w:val="10"/>
    <w:qFormat/>
    <w:rsid w:val="00C94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F28"/>
    <w:pPr>
      <w:spacing w:before="160"/>
      <w:jc w:val="center"/>
    </w:pPr>
    <w:rPr>
      <w:i/>
      <w:iCs/>
      <w:color w:val="404040" w:themeColor="text1" w:themeTint="BF"/>
    </w:rPr>
  </w:style>
  <w:style w:type="character" w:customStyle="1" w:styleId="QuoteChar">
    <w:name w:val="Quote Char"/>
    <w:basedOn w:val="DefaultParagraphFont"/>
    <w:link w:val="Quote"/>
    <w:uiPriority w:val="29"/>
    <w:rsid w:val="00C94F28"/>
    <w:rPr>
      <w:i/>
      <w:iCs/>
      <w:color w:val="404040" w:themeColor="text1" w:themeTint="BF"/>
    </w:rPr>
  </w:style>
  <w:style w:type="paragraph" w:styleId="ListParagraph">
    <w:name w:val="List Paragraph"/>
    <w:basedOn w:val="Normal"/>
    <w:uiPriority w:val="34"/>
    <w:qFormat/>
    <w:rsid w:val="00C94F28"/>
    <w:pPr>
      <w:ind w:left="720"/>
      <w:contextualSpacing/>
    </w:pPr>
  </w:style>
  <w:style w:type="character" w:styleId="IntenseEmphasis">
    <w:name w:val="Intense Emphasis"/>
    <w:basedOn w:val="DefaultParagraphFont"/>
    <w:uiPriority w:val="21"/>
    <w:qFormat/>
    <w:rsid w:val="00C94F28"/>
    <w:rPr>
      <w:i/>
      <w:iCs/>
      <w:color w:val="0F4761" w:themeColor="accent1" w:themeShade="BF"/>
    </w:rPr>
  </w:style>
  <w:style w:type="paragraph" w:styleId="IntenseQuote">
    <w:name w:val="Intense Quote"/>
    <w:basedOn w:val="Normal"/>
    <w:next w:val="Normal"/>
    <w:link w:val="IntenseQuoteChar"/>
    <w:uiPriority w:val="30"/>
    <w:qFormat/>
    <w:rsid w:val="00C94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F28"/>
    <w:rPr>
      <w:i/>
      <w:iCs/>
      <w:color w:val="0F4761" w:themeColor="accent1" w:themeShade="BF"/>
    </w:rPr>
  </w:style>
  <w:style w:type="character" w:styleId="IntenseReference">
    <w:name w:val="Intense Reference"/>
    <w:basedOn w:val="DefaultParagraphFont"/>
    <w:uiPriority w:val="32"/>
    <w:qFormat/>
    <w:rsid w:val="00C94F28"/>
    <w:rPr>
      <w:b/>
      <w:bCs/>
      <w:smallCaps/>
      <w:color w:val="0F4761" w:themeColor="accent1" w:themeShade="BF"/>
      <w:spacing w:val="5"/>
    </w:rPr>
  </w:style>
  <w:style w:type="paragraph" w:styleId="Header">
    <w:name w:val="header"/>
    <w:basedOn w:val="Normal"/>
    <w:link w:val="HeaderChar"/>
    <w:uiPriority w:val="99"/>
    <w:unhideWhenUsed/>
    <w:rsid w:val="00C94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F28"/>
  </w:style>
  <w:style w:type="paragraph" w:styleId="Footer">
    <w:name w:val="footer"/>
    <w:basedOn w:val="Normal"/>
    <w:link w:val="FooterChar"/>
    <w:uiPriority w:val="99"/>
    <w:unhideWhenUsed/>
    <w:rsid w:val="00C94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F28"/>
  </w:style>
  <w:style w:type="table" w:styleId="TableGrid">
    <w:name w:val="Table Grid"/>
    <w:basedOn w:val="TableNormal"/>
    <w:uiPriority w:val="39"/>
    <w:rsid w:val="00C94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94F2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5A383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A3836"/>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506">
      <w:bodyDiv w:val="1"/>
      <w:marLeft w:val="0"/>
      <w:marRight w:val="0"/>
      <w:marTop w:val="0"/>
      <w:marBottom w:val="0"/>
      <w:divBdr>
        <w:top w:val="none" w:sz="0" w:space="0" w:color="auto"/>
        <w:left w:val="none" w:sz="0" w:space="0" w:color="auto"/>
        <w:bottom w:val="none" w:sz="0" w:space="0" w:color="auto"/>
        <w:right w:val="none" w:sz="0" w:space="0" w:color="auto"/>
      </w:divBdr>
    </w:div>
    <w:div w:id="150219520">
      <w:bodyDiv w:val="1"/>
      <w:marLeft w:val="0"/>
      <w:marRight w:val="0"/>
      <w:marTop w:val="0"/>
      <w:marBottom w:val="0"/>
      <w:divBdr>
        <w:top w:val="none" w:sz="0" w:space="0" w:color="auto"/>
        <w:left w:val="none" w:sz="0" w:space="0" w:color="auto"/>
        <w:bottom w:val="none" w:sz="0" w:space="0" w:color="auto"/>
        <w:right w:val="none" w:sz="0" w:space="0" w:color="auto"/>
      </w:divBdr>
    </w:div>
    <w:div w:id="173347207">
      <w:bodyDiv w:val="1"/>
      <w:marLeft w:val="0"/>
      <w:marRight w:val="0"/>
      <w:marTop w:val="0"/>
      <w:marBottom w:val="0"/>
      <w:divBdr>
        <w:top w:val="none" w:sz="0" w:space="0" w:color="auto"/>
        <w:left w:val="none" w:sz="0" w:space="0" w:color="auto"/>
        <w:bottom w:val="none" w:sz="0" w:space="0" w:color="auto"/>
        <w:right w:val="none" w:sz="0" w:space="0" w:color="auto"/>
      </w:divBdr>
    </w:div>
    <w:div w:id="235437102">
      <w:bodyDiv w:val="1"/>
      <w:marLeft w:val="0"/>
      <w:marRight w:val="0"/>
      <w:marTop w:val="0"/>
      <w:marBottom w:val="0"/>
      <w:divBdr>
        <w:top w:val="none" w:sz="0" w:space="0" w:color="auto"/>
        <w:left w:val="none" w:sz="0" w:space="0" w:color="auto"/>
        <w:bottom w:val="none" w:sz="0" w:space="0" w:color="auto"/>
        <w:right w:val="none" w:sz="0" w:space="0" w:color="auto"/>
      </w:divBdr>
    </w:div>
    <w:div w:id="361904631">
      <w:bodyDiv w:val="1"/>
      <w:marLeft w:val="0"/>
      <w:marRight w:val="0"/>
      <w:marTop w:val="0"/>
      <w:marBottom w:val="0"/>
      <w:divBdr>
        <w:top w:val="none" w:sz="0" w:space="0" w:color="auto"/>
        <w:left w:val="none" w:sz="0" w:space="0" w:color="auto"/>
        <w:bottom w:val="none" w:sz="0" w:space="0" w:color="auto"/>
        <w:right w:val="none" w:sz="0" w:space="0" w:color="auto"/>
      </w:divBdr>
    </w:div>
    <w:div w:id="433209954">
      <w:bodyDiv w:val="1"/>
      <w:marLeft w:val="0"/>
      <w:marRight w:val="0"/>
      <w:marTop w:val="0"/>
      <w:marBottom w:val="0"/>
      <w:divBdr>
        <w:top w:val="none" w:sz="0" w:space="0" w:color="auto"/>
        <w:left w:val="none" w:sz="0" w:space="0" w:color="auto"/>
        <w:bottom w:val="none" w:sz="0" w:space="0" w:color="auto"/>
        <w:right w:val="none" w:sz="0" w:space="0" w:color="auto"/>
      </w:divBdr>
    </w:div>
    <w:div w:id="579212890">
      <w:bodyDiv w:val="1"/>
      <w:marLeft w:val="0"/>
      <w:marRight w:val="0"/>
      <w:marTop w:val="0"/>
      <w:marBottom w:val="0"/>
      <w:divBdr>
        <w:top w:val="none" w:sz="0" w:space="0" w:color="auto"/>
        <w:left w:val="none" w:sz="0" w:space="0" w:color="auto"/>
        <w:bottom w:val="none" w:sz="0" w:space="0" w:color="auto"/>
        <w:right w:val="none" w:sz="0" w:space="0" w:color="auto"/>
      </w:divBdr>
    </w:div>
    <w:div w:id="603076030">
      <w:bodyDiv w:val="1"/>
      <w:marLeft w:val="0"/>
      <w:marRight w:val="0"/>
      <w:marTop w:val="0"/>
      <w:marBottom w:val="0"/>
      <w:divBdr>
        <w:top w:val="none" w:sz="0" w:space="0" w:color="auto"/>
        <w:left w:val="none" w:sz="0" w:space="0" w:color="auto"/>
        <w:bottom w:val="none" w:sz="0" w:space="0" w:color="auto"/>
        <w:right w:val="none" w:sz="0" w:space="0" w:color="auto"/>
      </w:divBdr>
    </w:div>
    <w:div w:id="670446244">
      <w:bodyDiv w:val="1"/>
      <w:marLeft w:val="0"/>
      <w:marRight w:val="0"/>
      <w:marTop w:val="0"/>
      <w:marBottom w:val="0"/>
      <w:divBdr>
        <w:top w:val="none" w:sz="0" w:space="0" w:color="auto"/>
        <w:left w:val="none" w:sz="0" w:space="0" w:color="auto"/>
        <w:bottom w:val="none" w:sz="0" w:space="0" w:color="auto"/>
        <w:right w:val="none" w:sz="0" w:space="0" w:color="auto"/>
      </w:divBdr>
    </w:div>
    <w:div w:id="678041342">
      <w:bodyDiv w:val="1"/>
      <w:marLeft w:val="0"/>
      <w:marRight w:val="0"/>
      <w:marTop w:val="0"/>
      <w:marBottom w:val="0"/>
      <w:divBdr>
        <w:top w:val="none" w:sz="0" w:space="0" w:color="auto"/>
        <w:left w:val="none" w:sz="0" w:space="0" w:color="auto"/>
        <w:bottom w:val="none" w:sz="0" w:space="0" w:color="auto"/>
        <w:right w:val="none" w:sz="0" w:space="0" w:color="auto"/>
      </w:divBdr>
    </w:div>
    <w:div w:id="769812510">
      <w:bodyDiv w:val="1"/>
      <w:marLeft w:val="0"/>
      <w:marRight w:val="0"/>
      <w:marTop w:val="0"/>
      <w:marBottom w:val="0"/>
      <w:divBdr>
        <w:top w:val="none" w:sz="0" w:space="0" w:color="auto"/>
        <w:left w:val="none" w:sz="0" w:space="0" w:color="auto"/>
        <w:bottom w:val="none" w:sz="0" w:space="0" w:color="auto"/>
        <w:right w:val="none" w:sz="0" w:space="0" w:color="auto"/>
      </w:divBdr>
    </w:div>
    <w:div w:id="832258397">
      <w:bodyDiv w:val="1"/>
      <w:marLeft w:val="0"/>
      <w:marRight w:val="0"/>
      <w:marTop w:val="0"/>
      <w:marBottom w:val="0"/>
      <w:divBdr>
        <w:top w:val="none" w:sz="0" w:space="0" w:color="auto"/>
        <w:left w:val="none" w:sz="0" w:space="0" w:color="auto"/>
        <w:bottom w:val="none" w:sz="0" w:space="0" w:color="auto"/>
        <w:right w:val="none" w:sz="0" w:space="0" w:color="auto"/>
      </w:divBdr>
    </w:div>
    <w:div w:id="934024054">
      <w:bodyDiv w:val="1"/>
      <w:marLeft w:val="0"/>
      <w:marRight w:val="0"/>
      <w:marTop w:val="0"/>
      <w:marBottom w:val="0"/>
      <w:divBdr>
        <w:top w:val="none" w:sz="0" w:space="0" w:color="auto"/>
        <w:left w:val="none" w:sz="0" w:space="0" w:color="auto"/>
        <w:bottom w:val="none" w:sz="0" w:space="0" w:color="auto"/>
        <w:right w:val="none" w:sz="0" w:space="0" w:color="auto"/>
      </w:divBdr>
    </w:div>
    <w:div w:id="995383368">
      <w:bodyDiv w:val="1"/>
      <w:marLeft w:val="0"/>
      <w:marRight w:val="0"/>
      <w:marTop w:val="0"/>
      <w:marBottom w:val="0"/>
      <w:divBdr>
        <w:top w:val="none" w:sz="0" w:space="0" w:color="auto"/>
        <w:left w:val="none" w:sz="0" w:space="0" w:color="auto"/>
        <w:bottom w:val="none" w:sz="0" w:space="0" w:color="auto"/>
        <w:right w:val="none" w:sz="0" w:space="0" w:color="auto"/>
      </w:divBdr>
    </w:div>
    <w:div w:id="1057168133">
      <w:bodyDiv w:val="1"/>
      <w:marLeft w:val="0"/>
      <w:marRight w:val="0"/>
      <w:marTop w:val="0"/>
      <w:marBottom w:val="0"/>
      <w:divBdr>
        <w:top w:val="none" w:sz="0" w:space="0" w:color="auto"/>
        <w:left w:val="none" w:sz="0" w:space="0" w:color="auto"/>
        <w:bottom w:val="none" w:sz="0" w:space="0" w:color="auto"/>
        <w:right w:val="none" w:sz="0" w:space="0" w:color="auto"/>
      </w:divBdr>
    </w:div>
    <w:div w:id="1104231349">
      <w:bodyDiv w:val="1"/>
      <w:marLeft w:val="0"/>
      <w:marRight w:val="0"/>
      <w:marTop w:val="0"/>
      <w:marBottom w:val="0"/>
      <w:divBdr>
        <w:top w:val="none" w:sz="0" w:space="0" w:color="auto"/>
        <w:left w:val="none" w:sz="0" w:space="0" w:color="auto"/>
        <w:bottom w:val="none" w:sz="0" w:space="0" w:color="auto"/>
        <w:right w:val="none" w:sz="0" w:space="0" w:color="auto"/>
      </w:divBdr>
    </w:div>
    <w:div w:id="1214393371">
      <w:bodyDiv w:val="1"/>
      <w:marLeft w:val="0"/>
      <w:marRight w:val="0"/>
      <w:marTop w:val="0"/>
      <w:marBottom w:val="0"/>
      <w:divBdr>
        <w:top w:val="none" w:sz="0" w:space="0" w:color="auto"/>
        <w:left w:val="none" w:sz="0" w:space="0" w:color="auto"/>
        <w:bottom w:val="none" w:sz="0" w:space="0" w:color="auto"/>
        <w:right w:val="none" w:sz="0" w:space="0" w:color="auto"/>
      </w:divBdr>
    </w:div>
    <w:div w:id="1292587614">
      <w:bodyDiv w:val="1"/>
      <w:marLeft w:val="0"/>
      <w:marRight w:val="0"/>
      <w:marTop w:val="0"/>
      <w:marBottom w:val="0"/>
      <w:divBdr>
        <w:top w:val="none" w:sz="0" w:space="0" w:color="auto"/>
        <w:left w:val="none" w:sz="0" w:space="0" w:color="auto"/>
        <w:bottom w:val="none" w:sz="0" w:space="0" w:color="auto"/>
        <w:right w:val="none" w:sz="0" w:space="0" w:color="auto"/>
      </w:divBdr>
    </w:div>
    <w:div w:id="1341469809">
      <w:bodyDiv w:val="1"/>
      <w:marLeft w:val="0"/>
      <w:marRight w:val="0"/>
      <w:marTop w:val="0"/>
      <w:marBottom w:val="0"/>
      <w:divBdr>
        <w:top w:val="none" w:sz="0" w:space="0" w:color="auto"/>
        <w:left w:val="none" w:sz="0" w:space="0" w:color="auto"/>
        <w:bottom w:val="none" w:sz="0" w:space="0" w:color="auto"/>
        <w:right w:val="none" w:sz="0" w:space="0" w:color="auto"/>
      </w:divBdr>
    </w:div>
    <w:div w:id="1398939585">
      <w:bodyDiv w:val="1"/>
      <w:marLeft w:val="0"/>
      <w:marRight w:val="0"/>
      <w:marTop w:val="0"/>
      <w:marBottom w:val="0"/>
      <w:divBdr>
        <w:top w:val="none" w:sz="0" w:space="0" w:color="auto"/>
        <w:left w:val="none" w:sz="0" w:space="0" w:color="auto"/>
        <w:bottom w:val="none" w:sz="0" w:space="0" w:color="auto"/>
        <w:right w:val="none" w:sz="0" w:space="0" w:color="auto"/>
      </w:divBdr>
    </w:div>
    <w:div w:id="1434130663">
      <w:bodyDiv w:val="1"/>
      <w:marLeft w:val="0"/>
      <w:marRight w:val="0"/>
      <w:marTop w:val="0"/>
      <w:marBottom w:val="0"/>
      <w:divBdr>
        <w:top w:val="none" w:sz="0" w:space="0" w:color="auto"/>
        <w:left w:val="none" w:sz="0" w:space="0" w:color="auto"/>
        <w:bottom w:val="none" w:sz="0" w:space="0" w:color="auto"/>
        <w:right w:val="none" w:sz="0" w:space="0" w:color="auto"/>
      </w:divBdr>
    </w:div>
    <w:div w:id="1495103912">
      <w:bodyDiv w:val="1"/>
      <w:marLeft w:val="0"/>
      <w:marRight w:val="0"/>
      <w:marTop w:val="0"/>
      <w:marBottom w:val="0"/>
      <w:divBdr>
        <w:top w:val="none" w:sz="0" w:space="0" w:color="auto"/>
        <w:left w:val="none" w:sz="0" w:space="0" w:color="auto"/>
        <w:bottom w:val="none" w:sz="0" w:space="0" w:color="auto"/>
        <w:right w:val="none" w:sz="0" w:space="0" w:color="auto"/>
      </w:divBdr>
    </w:div>
    <w:div w:id="1536113021">
      <w:bodyDiv w:val="1"/>
      <w:marLeft w:val="0"/>
      <w:marRight w:val="0"/>
      <w:marTop w:val="0"/>
      <w:marBottom w:val="0"/>
      <w:divBdr>
        <w:top w:val="none" w:sz="0" w:space="0" w:color="auto"/>
        <w:left w:val="none" w:sz="0" w:space="0" w:color="auto"/>
        <w:bottom w:val="none" w:sz="0" w:space="0" w:color="auto"/>
        <w:right w:val="none" w:sz="0" w:space="0" w:color="auto"/>
      </w:divBdr>
    </w:div>
    <w:div w:id="1605966313">
      <w:bodyDiv w:val="1"/>
      <w:marLeft w:val="0"/>
      <w:marRight w:val="0"/>
      <w:marTop w:val="0"/>
      <w:marBottom w:val="0"/>
      <w:divBdr>
        <w:top w:val="none" w:sz="0" w:space="0" w:color="auto"/>
        <w:left w:val="none" w:sz="0" w:space="0" w:color="auto"/>
        <w:bottom w:val="none" w:sz="0" w:space="0" w:color="auto"/>
        <w:right w:val="none" w:sz="0" w:space="0" w:color="auto"/>
      </w:divBdr>
    </w:div>
    <w:div w:id="1606695970">
      <w:bodyDiv w:val="1"/>
      <w:marLeft w:val="0"/>
      <w:marRight w:val="0"/>
      <w:marTop w:val="0"/>
      <w:marBottom w:val="0"/>
      <w:divBdr>
        <w:top w:val="none" w:sz="0" w:space="0" w:color="auto"/>
        <w:left w:val="none" w:sz="0" w:space="0" w:color="auto"/>
        <w:bottom w:val="none" w:sz="0" w:space="0" w:color="auto"/>
        <w:right w:val="none" w:sz="0" w:space="0" w:color="auto"/>
      </w:divBdr>
    </w:div>
    <w:div w:id="1764758935">
      <w:bodyDiv w:val="1"/>
      <w:marLeft w:val="0"/>
      <w:marRight w:val="0"/>
      <w:marTop w:val="0"/>
      <w:marBottom w:val="0"/>
      <w:divBdr>
        <w:top w:val="none" w:sz="0" w:space="0" w:color="auto"/>
        <w:left w:val="none" w:sz="0" w:space="0" w:color="auto"/>
        <w:bottom w:val="none" w:sz="0" w:space="0" w:color="auto"/>
        <w:right w:val="none" w:sz="0" w:space="0" w:color="auto"/>
      </w:divBdr>
    </w:div>
    <w:div w:id="1842352156">
      <w:bodyDiv w:val="1"/>
      <w:marLeft w:val="0"/>
      <w:marRight w:val="0"/>
      <w:marTop w:val="0"/>
      <w:marBottom w:val="0"/>
      <w:divBdr>
        <w:top w:val="none" w:sz="0" w:space="0" w:color="auto"/>
        <w:left w:val="none" w:sz="0" w:space="0" w:color="auto"/>
        <w:bottom w:val="none" w:sz="0" w:space="0" w:color="auto"/>
        <w:right w:val="none" w:sz="0" w:space="0" w:color="auto"/>
      </w:divBdr>
    </w:div>
    <w:div w:id="1921254332">
      <w:bodyDiv w:val="1"/>
      <w:marLeft w:val="0"/>
      <w:marRight w:val="0"/>
      <w:marTop w:val="0"/>
      <w:marBottom w:val="0"/>
      <w:divBdr>
        <w:top w:val="none" w:sz="0" w:space="0" w:color="auto"/>
        <w:left w:val="none" w:sz="0" w:space="0" w:color="auto"/>
        <w:bottom w:val="none" w:sz="0" w:space="0" w:color="auto"/>
        <w:right w:val="none" w:sz="0" w:space="0" w:color="auto"/>
      </w:divBdr>
    </w:div>
    <w:div w:id="1948272786">
      <w:bodyDiv w:val="1"/>
      <w:marLeft w:val="0"/>
      <w:marRight w:val="0"/>
      <w:marTop w:val="0"/>
      <w:marBottom w:val="0"/>
      <w:divBdr>
        <w:top w:val="none" w:sz="0" w:space="0" w:color="auto"/>
        <w:left w:val="none" w:sz="0" w:space="0" w:color="auto"/>
        <w:bottom w:val="none" w:sz="0" w:space="0" w:color="auto"/>
        <w:right w:val="none" w:sz="0" w:space="0" w:color="auto"/>
      </w:divBdr>
    </w:div>
    <w:div w:id="2053143963">
      <w:bodyDiv w:val="1"/>
      <w:marLeft w:val="0"/>
      <w:marRight w:val="0"/>
      <w:marTop w:val="0"/>
      <w:marBottom w:val="0"/>
      <w:divBdr>
        <w:top w:val="none" w:sz="0" w:space="0" w:color="auto"/>
        <w:left w:val="none" w:sz="0" w:space="0" w:color="auto"/>
        <w:bottom w:val="none" w:sz="0" w:space="0" w:color="auto"/>
        <w:right w:val="none" w:sz="0" w:space="0" w:color="auto"/>
      </w:divBdr>
    </w:div>
    <w:div w:id="2117753058">
      <w:bodyDiv w:val="1"/>
      <w:marLeft w:val="0"/>
      <w:marRight w:val="0"/>
      <w:marTop w:val="0"/>
      <w:marBottom w:val="0"/>
      <w:divBdr>
        <w:top w:val="none" w:sz="0" w:space="0" w:color="auto"/>
        <w:left w:val="none" w:sz="0" w:space="0" w:color="auto"/>
        <w:bottom w:val="none" w:sz="0" w:space="0" w:color="auto"/>
        <w:right w:val="none" w:sz="0" w:space="0" w:color="auto"/>
      </w:divBdr>
    </w:div>
    <w:div w:id="2138060557">
      <w:bodyDiv w:val="1"/>
      <w:marLeft w:val="0"/>
      <w:marRight w:val="0"/>
      <w:marTop w:val="0"/>
      <w:marBottom w:val="0"/>
      <w:divBdr>
        <w:top w:val="none" w:sz="0" w:space="0" w:color="auto"/>
        <w:left w:val="none" w:sz="0" w:space="0" w:color="auto"/>
        <w:bottom w:val="none" w:sz="0" w:space="0" w:color="auto"/>
        <w:right w:val="none" w:sz="0" w:space="0" w:color="auto"/>
      </w:divBdr>
    </w:div>
    <w:div w:id="21453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Montana WONGSO</dc:creator>
  <cp:keywords/>
  <dc:description/>
  <cp:lastModifiedBy>Kevin Montana WONGSO</cp:lastModifiedBy>
  <cp:revision>67</cp:revision>
  <cp:lastPrinted>2024-09-29T14:55:00Z</cp:lastPrinted>
  <dcterms:created xsi:type="dcterms:W3CDTF">2024-09-13T15:22:00Z</dcterms:created>
  <dcterms:modified xsi:type="dcterms:W3CDTF">2024-09-29T15:11:00Z</dcterms:modified>
</cp:coreProperties>
</file>