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BD3F7" w14:textId="78DD0BD5" w:rsidR="00C94F28" w:rsidRPr="000F6D5E" w:rsidRDefault="00C94F28" w:rsidP="00AC281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F6D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QF600 (Asset Pricing) – Homework </w:t>
      </w:r>
      <w:r w:rsidR="009C5B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6</w:t>
      </w:r>
    </w:p>
    <w:p w14:paraId="62D74235" w14:textId="0520714D" w:rsidR="00324C07" w:rsidRDefault="009C5B1C" w:rsidP="00324C07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Behavioral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Finance</w:t>
      </w:r>
    </w:p>
    <w:p w14:paraId="378208B5" w14:textId="77777777" w:rsidR="009C5B1C" w:rsidRPr="009C5B1C" w:rsidRDefault="009C5B1C" w:rsidP="009C5B1C">
      <w:pPr>
        <w:jc w:val="both"/>
        <w:rPr>
          <w:rFonts w:ascii="Times New Roman" w:hAnsi="Times New Roman" w:cs="Times New Roman"/>
          <w:color w:val="000000" w:themeColor="text1"/>
        </w:rPr>
      </w:pPr>
      <w:r w:rsidRPr="009C5B1C">
        <w:rPr>
          <w:rFonts w:ascii="Times New Roman" w:hAnsi="Times New Roman" w:cs="Times New Roman"/>
          <w:color w:val="000000" w:themeColor="text1"/>
        </w:rPr>
        <w:t xml:space="preserve">Assume </w:t>
      </w:r>
      <w:proofErr w:type="spellStart"/>
      <w:r w:rsidRPr="009C5B1C">
        <w:rPr>
          <w:rFonts w:ascii="Times New Roman" w:hAnsi="Times New Roman" w:cs="Times New Roman"/>
          <w:color w:val="000000" w:themeColor="text1"/>
        </w:rPr>
        <w:t>Barberis</w:t>
      </w:r>
      <w:proofErr w:type="spellEnd"/>
      <w:r w:rsidRPr="009C5B1C">
        <w:rPr>
          <w:rFonts w:ascii="Times New Roman" w:hAnsi="Times New Roman" w:cs="Times New Roman"/>
          <w:color w:val="000000" w:themeColor="text1"/>
        </w:rPr>
        <w:t>, Huang, and Santos economy where investor receives utility from consumption as well as recent financial gain or loss. Use these parameters:</w:t>
      </w:r>
    </w:p>
    <w:p w14:paraId="211B2423" w14:textId="016242D4" w:rsidR="009C5B1C" w:rsidRDefault="009C5B1C" w:rsidP="00753AF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9E23335" wp14:editId="6A87042A">
            <wp:extent cx="2392822" cy="390788"/>
            <wp:effectExtent l="0" t="0" r="0" b="3175"/>
            <wp:docPr id="1183001003" name="Picture 2" descr="A black symbol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01003" name="Picture 2" descr="A black symbol with a whit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145" cy="4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A8D3" w14:textId="226F40F1" w:rsidR="009C5B1C" w:rsidRPr="009C5B1C" w:rsidRDefault="009C5B1C" w:rsidP="009C5B1C">
      <w:pPr>
        <w:jc w:val="both"/>
        <w:rPr>
          <w:rFonts w:ascii="Times New Roman" w:hAnsi="Times New Roman" w:cs="Times New Roman"/>
          <w:color w:val="000000" w:themeColor="text1"/>
        </w:rPr>
      </w:pPr>
      <w:r w:rsidRPr="009C5B1C">
        <w:rPr>
          <w:rFonts w:ascii="Times New Roman" w:hAnsi="Times New Roman" w:cs="Times New Roman"/>
          <w:color w:val="000000" w:themeColor="text1"/>
        </w:rPr>
        <w:t>Consumption growth has lognormal distribution:</w:t>
      </w:r>
    </w:p>
    <w:p w14:paraId="4237042B" w14:textId="3EE04BE4" w:rsidR="009C5B1C" w:rsidRDefault="009C5B1C" w:rsidP="009C5B1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DCC4F5B" wp14:editId="1C405198">
            <wp:extent cx="1572426" cy="300290"/>
            <wp:effectExtent l="0" t="0" r="2540" b="5080"/>
            <wp:docPr id="1731034158" name="Picture 3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34158" name="Picture 3" descr="A black numbers on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62" cy="32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080C" w14:textId="5D1D2591" w:rsidR="009C5B1C" w:rsidRPr="009C5B1C" w:rsidRDefault="009C5B1C" w:rsidP="009C5B1C">
      <w:pPr>
        <w:jc w:val="both"/>
        <w:rPr>
          <w:rFonts w:ascii="Times New Roman" w:hAnsi="Times New Roman" w:cs="Times New Roman"/>
          <w:color w:val="000000" w:themeColor="text1"/>
        </w:rPr>
      </w:pPr>
      <w:r w:rsidRPr="009C5B1C">
        <w:rPr>
          <w:rFonts w:ascii="Times New Roman" w:hAnsi="Times New Roman" w:cs="Times New Roman"/>
          <w:color w:val="000000" w:themeColor="text1"/>
        </w:rPr>
        <w:t>where ε is standard normal random variable. Simulate probability distribution for consumption growth with (at least) 10</w:t>
      </w:r>
      <w:r w:rsidRPr="009C5B1C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9C5B1C">
        <w:rPr>
          <w:rFonts w:ascii="Times New Roman" w:hAnsi="Times New Roman" w:cs="Times New Roman"/>
          <w:color w:val="000000" w:themeColor="text1"/>
        </w:rPr>
        <w:t> random draws from standard normal distribution.</w:t>
      </w:r>
    </w:p>
    <w:p w14:paraId="0F199C10" w14:textId="77777777" w:rsidR="009C5B1C" w:rsidRPr="009C5B1C" w:rsidRDefault="009C5B1C" w:rsidP="009C5B1C">
      <w:pPr>
        <w:jc w:val="both"/>
        <w:rPr>
          <w:rFonts w:ascii="Times New Roman" w:hAnsi="Times New Roman" w:cs="Times New Roman"/>
          <w:color w:val="000000" w:themeColor="text1"/>
        </w:rPr>
      </w:pPr>
      <w:r w:rsidRPr="009C5B1C">
        <w:rPr>
          <w:rFonts w:ascii="Times New Roman" w:hAnsi="Times New Roman" w:cs="Times New Roman"/>
          <w:color w:val="000000" w:themeColor="text1"/>
        </w:rPr>
        <w:t>With these parameters, risk-free rate is around 3% per year:</w:t>
      </w:r>
    </w:p>
    <w:p w14:paraId="76548290" w14:textId="68A4B395" w:rsidR="009C5B1C" w:rsidRDefault="009C5B1C" w:rsidP="009C5B1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F8B8B23" wp14:editId="3F7F933D">
            <wp:extent cx="2076628" cy="620531"/>
            <wp:effectExtent l="0" t="0" r="0" b="1905"/>
            <wp:docPr id="1446692626" name="Picture 5" descr="A black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92626" name="Picture 5" descr="A black numbers and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901" cy="6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5FB0" w14:textId="1F2F5820" w:rsidR="009C5B1C" w:rsidRPr="009C5B1C" w:rsidRDefault="009C5B1C" w:rsidP="009C5B1C">
      <w:pPr>
        <w:jc w:val="both"/>
        <w:rPr>
          <w:rFonts w:ascii="Times New Roman" w:hAnsi="Times New Roman" w:cs="Times New Roman"/>
          <w:color w:val="000000" w:themeColor="text1"/>
        </w:rPr>
      </w:pPr>
      <w:r w:rsidRPr="009C5B1C">
        <w:rPr>
          <w:rFonts w:ascii="Times New Roman" w:hAnsi="Times New Roman" w:cs="Times New Roman"/>
          <w:color w:val="000000" w:themeColor="text1"/>
        </w:rPr>
        <w:t> Define x as one plus dividend yield for market portfolio:</w:t>
      </w:r>
    </w:p>
    <w:p w14:paraId="12F3D01C" w14:textId="34DA0484" w:rsidR="009C5B1C" w:rsidRPr="009C5B1C" w:rsidRDefault="009C5B1C" w:rsidP="009C5B1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96458BC" wp14:editId="55EB5097">
            <wp:extent cx="2264636" cy="566159"/>
            <wp:effectExtent l="0" t="0" r="0" b="5715"/>
            <wp:docPr id="1927072848" name="Picture 4" descr="A black and white math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72848" name="Picture 4" descr="A black and white math symbo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73" cy="5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8E9A" w14:textId="77777777" w:rsidR="009C5B1C" w:rsidRPr="009C5B1C" w:rsidRDefault="009C5B1C" w:rsidP="009C5B1C">
      <w:pPr>
        <w:jc w:val="both"/>
        <w:rPr>
          <w:rFonts w:ascii="Times New Roman" w:hAnsi="Times New Roman" w:cs="Times New Roman"/>
          <w:color w:val="000000" w:themeColor="text1"/>
        </w:rPr>
      </w:pPr>
      <w:r w:rsidRPr="009C5B1C">
        <w:rPr>
          <w:rFonts w:ascii="Times New Roman" w:hAnsi="Times New Roman" w:cs="Times New Roman"/>
          <w:color w:val="000000" w:themeColor="text1"/>
        </w:rPr>
        <w:t>and define error term:</w:t>
      </w:r>
    </w:p>
    <w:p w14:paraId="1D1C7143" w14:textId="1EE57A97" w:rsidR="009C5B1C" w:rsidRDefault="009C5B1C" w:rsidP="009C5B1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FA428C0" wp14:editId="23B445ED">
            <wp:extent cx="3076486" cy="403222"/>
            <wp:effectExtent l="0" t="0" r="0" b="3810"/>
            <wp:docPr id="1080154768" name="Picture 6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54768" name="Picture 6" descr="A black text on a white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50" cy="41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6507" w14:textId="0B84BB0E" w:rsidR="009C5B1C" w:rsidRDefault="009C5B1C" w:rsidP="009C5B1C">
      <w:pPr>
        <w:jc w:val="both"/>
        <w:rPr>
          <w:rFonts w:ascii="Times New Roman" w:hAnsi="Times New Roman" w:cs="Times New Roman"/>
          <w:color w:val="000000" w:themeColor="text1"/>
        </w:rPr>
      </w:pPr>
      <w:r w:rsidRPr="009C5B1C">
        <w:rPr>
          <w:rFonts w:ascii="Times New Roman" w:hAnsi="Times New Roman" w:cs="Times New Roman"/>
          <w:color w:val="000000" w:themeColor="text1"/>
        </w:rPr>
        <w:t>where utility from recent financial gain or loss is given by:</w:t>
      </w:r>
    </w:p>
    <w:p w14:paraId="3F017546" w14:textId="16A68388" w:rsidR="009C5B1C" w:rsidRDefault="009C5B1C" w:rsidP="009C5B1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D10BCBF" wp14:editId="4960DABC">
            <wp:extent cx="3244401" cy="606752"/>
            <wp:effectExtent l="0" t="0" r="0" b="3175"/>
            <wp:docPr id="448695779" name="Picture 7" descr="A number and a few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95779" name="Picture 7" descr="A number and a few number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708" cy="63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BFD5" w14:textId="77777777" w:rsidR="009C5B1C" w:rsidRDefault="009C5B1C" w:rsidP="009C5B1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CBE8B5C" w14:textId="4F28EB30" w:rsidR="009C5B1C" w:rsidRPr="009C5B1C" w:rsidRDefault="009C5B1C" w:rsidP="009C5B1C">
      <w:pPr>
        <w:jc w:val="both"/>
        <w:rPr>
          <w:rFonts w:ascii="Times New Roman" w:hAnsi="Times New Roman" w:cs="Times New Roman"/>
          <w:color w:val="000000" w:themeColor="text1"/>
        </w:rPr>
      </w:pPr>
      <w:r w:rsidRPr="009C5B1C">
        <w:rPr>
          <w:rFonts w:ascii="Times New Roman" w:hAnsi="Times New Roman" w:cs="Times New Roman"/>
          <w:color w:val="000000" w:themeColor="text1"/>
        </w:rPr>
        <w:t>Solve for e(x) = 0 to find equilibrium value of x, using bisection search:</w:t>
      </w:r>
    </w:p>
    <w:p w14:paraId="34F54B19" w14:textId="77777777" w:rsidR="009C5B1C" w:rsidRPr="009C5B1C" w:rsidRDefault="009C5B1C" w:rsidP="009C5B1C">
      <w:pPr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</w:rPr>
      </w:pPr>
      <w:r w:rsidRPr="009C5B1C">
        <w:rPr>
          <w:rFonts w:ascii="Times New Roman" w:hAnsi="Times New Roman" w:cs="Times New Roman"/>
          <w:color w:val="000000" w:themeColor="text1"/>
        </w:rPr>
        <w:t>Set 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–</w:t>
      </w:r>
      <w:r w:rsidRPr="009C5B1C">
        <w:rPr>
          <w:rFonts w:ascii="Times New Roman" w:hAnsi="Times New Roman" w:cs="Times New Roman"/>
          <w:color w:val="000000" w:themeColor="text1"/>
        </w:rPr>
        <w:t> = 1 and 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+</w:t>
      </w:r>
      <w:r w:rsidRPr="009C5B1C">
        <w:rPr>
          <w:rFonts w:ascii="Times New Roman" w:hAnsi="Times New Roman" w:cs="Times New Roman"/>
          <w:color w:val="000000" w:themeColor="text1"/>
        </w:rPr>
        <w:t> = 1.1, and use simulated distribution of consumption growth to confirm that e(x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–</w:t>
      </w:r>
      <w:r w:rsidRPr="009C5B1C">
        <w:rPr>
          <w:rFonts w:ascii="Times New Roman" w:hAnsi="Times New Roman" w:cs="Times New Roman"/>
          <w:color w:val="000000" w:themeColor="text1"/>
        </w:rPr>
        <w:t>) &lt; 0 and e(x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+</w:t>
      </w:r>
      <w:r w:rsidRPr="009C5B1C">
        <w:rPr>
          <w:rFonts w:ascii="Times New Roman" w:hAnsi="Times New Roman" w:cs="Times New Roman"/>
          <w:color w:val="000000" w:themeColor="text1"/>
        </w:rPr>
        <w:t xml:space="preserve">) &gt; 0 </w:t>
      </w:r>
      <w:r w:rsidRPr="009C5B1C">
        <w:rPr>
          <w:rFonts w:ascii="Cambria Math" w:hAnsi="Cambria Math" w:cs="Cambria Math"/>
          <w:color w:val="000000" w:themeColor="text1"/>
        </w:rPr>
        <w:t>⇒</w:t>
      </w:r>
      <w:r w:rsidRPr="009C5B1C">
        <w:rPr>
          <w:rFonts w:ascii="Times New Roman" w:hAnsi="Times New Roman" w:cs="Times New Roman"/>
          <w:color w:val="000000" w:themeColor="text1"/>
        </w:rPr>
        <w:t xml:space="preserve"> solution must lie between 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–</w:t>
      </w:r>
      <w:r w:rsidRPr="009C5B1C">
        <w:rPr>
          <w:rFonts w:ascii="Times New Roman" w:hAnsi="Times New Roman" w:cs="Times New Roman"/>
          <w:color w:val="000000" w:themeColor="text1"/>
        </w:rPr>
        <w:t> and 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+</w:t>
      </w:r>
    </w:p>
    <w:p w14:paraId="414ECF88" w14:textId="77777777" w:rsidR="009C5B1C" w:rsidRPr="009C5B1C" w:rsidRDefault="009C5B1C" w:rsidP="009C5B1C">
      <w:pPr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</w:rPr>
      </w:pPr>
      <w:r w:rsidRPr="009C5B1C">
        <w:rPr>
          <w:rFonts w:ascii="Times New Roman" w:hAnsi="Times New Roman" w:cs="Times New Roman"/>
          <w:color w:val="000000" w:themeColor="text1"/>
        </w:rPr>
        <w:t>Set 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9C5B1C">
        <w:rPr>
          <w:rFonts w:ascii="Times New Roman" w:hAnsi="Times New Roman" w:cs="Times New Roman"/>
          <w:color w:val="000000" w:themeColor="text1"/>
        </w:rPr>
        <w:t> = 0.5*(x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–</w:t>
      </w:r>
      <w:r w:rsidRPr="009C5B1C">
        <w:rPr>
          <w:rFonts w:ascii="Times New Roman" w:hAnsi="Times New Roman" w:cs="Times New Roman"/>
          <w:color w:val="000000" w:themeColor="text1"/>
        </w:rPr>
        <w:t> + 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+</w:t>
      </w:r>
      <w:r w:rsidRPr="009C5B1C">
        <w:rPr>
          <w:rFonts w:ascii="Times New Roman" w:hAnsi="Times New Roman" w:cs="Times New Roman"/>
          <w:color w:val="000000" w:themeColor="text1"/>
        </w:rPr>
        <w:t>) and use simulated distribution of consumption growth to calculate e(x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9C5B1C">
        <w:rPr>
          <w:rFonts w:ascii="Times New Roman" w:hAnsi="Times New Roman" w:cs="Times New Roman"/>
          <w:color w:val="000000" w:themeColor="text1"/>
        </w:rPr>
        <w:t>)</w:t>
      </w:r>
    </w:p>
    <w:p w14:paraId="077C58E5" w14:textId="77777777" w:rsidR="009C5B1C" w:rsidRPr="009C5B1C" w:rsidRDefault="009C5B1C" w:rsidP="009C5B1C">
      <w:pPr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</w:rPr>
      </w:pPr>
      <w:r w:rsidRPr="009C5B1C">
        <w:rPr>
          <w:rFonts w:ascii="Times New Roman" w:hAnsi="Times New Roman" w:cs="Times New Roman"/>
          <w:color w:val="000000" w:themeColor="text1"/>
        </w:rPr>
        <w:t>If |e(x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9C5B1C">
        <w:rPr>
          <w:rFonts w:ascii="Times New Roman" w:hAnsi="Times New Roman" w:cs="Times New Roman"/>
          <w:color w:val="000000" w:themeColor="text1"/>
        </w:rPr>
        <w:t>)| &lt; 10</w:t>
      </w:r>
      <w:r w:rsidRPr="009C5B1C">
        <w:rPr>
          <w:rFonts w:ascii="Times New Roman" w:hAnsi="Times New Roman" w:cs="Times New Roman"/>
          <w:color w:val="000000" w:themeColor="text1"/>
          <w:vertAlign w:val="superscript"/>
        </w:rPr>
        <w:t>–5</w:t>
      </w:r>
      <w:r w:rsidRPr="009C5B1C">
        <w:rPr>
          <w:rFonts w:ascii="Times New Roman" w:hAnsi="Times New Roman" w:cs="Times New Roman"/>
          <w:color w:val="000000" w:themeColor="text1"/>
        </w:rPr>
        <w:t>, then you have converged to solution</w:t>
      </w:r>
    </w:p>
    <w:p w14:paraId="486AFD6B" w14:textId="77777777" w:rsidR="009C5B1C" w:rsidRPr="009C5B1C" w:rsidRDefault="009C5B1C" w:rsidP="009C5B1C">
      <w:pPr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</w:rPr>
      </w:pPr>
      <w:r w:rsidRPr="009C5B1C">
        <w:rPr>
          <w:rFonts w:ascii="Times New Roman" w:hAnsi="Times New Roman" w:cs="Times New Roman"/>
          <w:color w:val="000000" w:themeColor="text1"/>
        </w:rPr>
        <w:lastRenderedPageBreak/>
        <w:t>Otherwise if e(x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9C5B1C">
        <w:rPr>
          <w:rFonts w:ascii="Times New Roman" w:hAnsi="Times New Roman" w:cs="Times New Roman"/>
          <w:color w:val="000000" w:themeColor="text1"/>
        </w:rPr>
        <w:t>) &lt; 0, then solution lies between 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9C5B1C">
        <w:rPr>
          <w:rFonts w:ascii="Times New Roman" w:hAnsi="Times New Roman" w:cs="Times New Roman"/>
          <w:color w:val="000000" w:themeColor="text1"/>
        </w:rPr>
        <w:t> and 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+</w:t>
      </w:r>
      <w:r w:rsidRPr="009C5B1C">
        <w:rPr>
          <w:rFonts w:ascii="Times New Roman" w:hAnsi="Times New Roman" w:cs="Times New Roman"/>
          <w:color w:val="000000" w:themeColor="text1"/>
        </w:rPr>
        <w:t> </w:t>
      </w:r>
      <w:r w:rsidRPr="009C5B1C">
        <w:rPr>
          <w:rFonts w:ascii="Cambria Math" w:hAnsi="Cambria Math" w:cs="Cambria Math"/>
          <w:color w:val="000000" w:themeColor="text1"/>
        </w:rPr>
        <w:t>⇒</w:t>
      </w:r>
      <w:r w:rsidRPr="009C5B1C">
        <w:rPr>
          <w:rFonts w:ascii="Times New Roman" w:hAnsi="Times New Roman" w:cs="Times New Roman"/>
          <w:color w:val="000000" w:themeColor="text1"/>
        </w:rPr>
        <w:t> repeat from step 2 with 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–</w:t>
      </w:r>
      <w:r w:rsidRPr="009C5B1C">
        <w:rPr>
          <w:rFonts w:ascii="Times New Roman" w:hAnsi="Times New Roman" w:cs="Times New Roman"/>
          <w:color w:val="000000" w:themeColor="text1"/>
        </w:rPr>
        <w:t> = 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0</w:t>
      </w:r>
    </w:p>
    <w:p w14:paraId="4B88BC80" w14:textId="77777777" w:rsidR="009C5B1C" w:rsidRPr="009C5B1C" w:rsidRDefault="009C5B1C" w:rsidP="009C5B1C">
      <w:pPr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</w:rPr>
      </w:pPr>
      <w:r w:rsidRPr="009C5B1C">
        <w:rPr>
          <w:rFonts w:ascii="Times New Roman" w:hAnsi="Times New Roman" w:cs="Times New Roman"/>
          <w:color w:val="000000" w:themeColor="text1"/>
        </w:rPr>
        <w:t>Otherwise if e(x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9C5B1C">
        <w:rPr>
          <w:rFonts w:ascii="Times New Roman" w:hAnsi="Times New Roman" w:cs="Times New Roman"/>
          <w:color w:val="000000" w:themeColor="text1"/>
        </w:rPr>
        <w:t>) &gt; 0, then solution lies between 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–</w:t>
      </w:r>
      <w:r w:rsidRPr="009C5B1C">
        <w:rPr>
          <w:rFonts w:ascii="Times New Roman" w:hAnsi="Times New Roman" w:cs="Times New Roman"/>
          <w:color w:val="000000" w:themeColor="text1"/>
        </w:rPr>
        <w:t> and 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9C5B1C">
        <w:rPr>
          <w:rFonts w:ascii="Times New Roman" w:hAnsi="Times New Roman" w:cs="Times New Roman"/>
          <w:color w:val="000000" w:themeColor="text1"/>
        </w:rPr>
        <w:t> </w:t>
      </w:r>
      <w:r w:rsidRPr="009C5B1C">
        <w:rPr>
          <w:rFonts w:ascii="Cambria Math" w:hAnsi="Cambria Math" w:cs="Cambria Math"/>
          <w:color w:val="000000" w:themeColor="text1"/>
        </w:rPr>
        <w:t>⇒</w:t>
      </w:r>
      <w:r w:rsidRPr="009C5B1C">
        <w:rPr>
          <w:rFonts w:ascii="Times New Roman" w:hAnsi="Times New Roman" w:cs="Times New Roman"/>
          <w:color w:val="000000" w:themeColor="text1"/>
        </w:rPr>
        <w:t> repeat from step 2 with 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+</w:t>
      </w:r>
      <w:r w:rsidRPr="009C5B1C">
        <w:rPr>
          <w:rFonts w:ascii="Times New Roman" w:hAnsi="Times New Roman" w:cs="Times New Roman"/>
          <w:color w:val="000000" w:themeColor="text1"/>
        </w:rPr>
        <w:t> = x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0</w:t>
      </w:r>
    </w:p>
    <w:p w14:paraId="6A3ACB83" w14:textId="77777777" w:rsidR="00753AFF" w:rsidRDefault="009C5B1C" w:rsidP="00753AFF">
      <w:pPr>
        <w:jc w:val="both"/>
        <w:rPr>
          <w:rFonts w:ascii="Times New Roman" w:hAnsi="Times New Roman" w:cs="Times New Roman"/>
          <w:color w:val="000000" w:themeColor="text1"/>
        </w:rPr>
      </w:pPr>
      <w:r w:rsidRPr="009C5B1C">
        <w:rPr>
          <w:rFonts w:ascii="Times New Roman" w:hAnsi="Times New Roman" w:cs="Times New Roman"/>
          <w:color w:val="000000" w:themeColor="text1"/>
        </w:rPr>
        <w:t>Repeat for b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9C5B1C">
        <w:rPr>
          <w:rFonts w:ascii="Times New Roman" w:hAnsi="Times New Roman" w:cs="Times New Roman"/>
          <w:color w:val="000000" w:themeColor="text1"/>
        </w:rPr>
        <w:t> in range from 0 to 10, in increments of 0.1 (or less).</w:t>
      </w:r>
    </w:p>
    <w:p w14:paraId="65E81E54" w14:textId="12D5E9BE" w:rsidR="009C5B1C" w:rsidRPr="00753AFF" w:rsidRDefault="009C5B1C" w:rsidP="00753AF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 w:themeColor="text1"/>
        </w:rPr>
      </w:pPr>
      <w:r w:rsidRPr="00753AFF">
        <w:rPr>
          <w:rFonts w:ascii="Times New Roman" w:hAnsi="Times New Roman" w:cs="Times New Roman"/>
          <w:color w:val="000000" w:themeColor="text1"/>
        </w:rPr>
        <w:t xml:space="preserve">Calculate price-dividend ratio for market </w:t>
      </w:r>
      <w:proofErr w:type="spellStart"/>
      <w:r w:rsidRPr="00753AFF">
        <w:rPr>
          <w:rFonts w:ascii="Times New Roman" w:hAnsi="Times New Roman" w:cs="Times New Roman"/>
          <w:color w:val="000000" w:themeColor="text1"/>
        </w:rPr>
        <w:t>portfolio:</w:t>
      </w:r>
      <w:proofErr w:type="spellEnd"/>
    </w:p>
    <w:p w14:paraId="7F465CBE" w14:textId="747EDD3B" w:rsidR="009C5B1C" w:rsidRDefault="00753AFF" w:rsidP="00753AFF">
      <w:pPr>
        <w:ind w:left="72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1FA13E6" wp14:editId="2CA7C695">
            <wp:extent cx="940037" cy="533010"/>
            <wp:effectExtent l="0" t="0" r="0" b="635"/>
            <wp:docPr id="19718715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71579" name="Picture 197187157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253" cy="5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5766" w14:textId="13D42473" w:rsidR="00753AFF" w:rsidRDefault="009C5B1C" w:rsidP="00753AFF">
      <w:pPr>
        <w:ind w:left="72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C5B1C">
        <w:rPr>
          <w:rFonts w:ascii="Times New Roman" w:hAnsi="Times New Roman" w:cs="Times New Roman"/>
          <w:color w:val="000000" w:themeColor="text1"/>
        </w:rPr>
        <w:t>Plot price-dividend ratio (on vertical axis) vs b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9C5B1C">
        <w:rPr>
          <w:rFonts w:ascii="Times New Roman" w:hAnsi="Times New Roman" w:cs="Times New Roman"/>
          <w:color w:val="000000" w:themeColor="text1"/>
        </w:rPr>
        <w:t>.</w:t>
      </w:r>
    </w:p>
    <w:p w14:paraId="3B95E4F8" w14:textId="3E994ECA" w:rsidR="009C5B1C" w:rsidRPr="009C5B1C" w:rsidRDefault="00753AFF" w:rsidP="00753AFF">
      <w:pPr>
        <w:ind w:left="720"/>
        <w:rPr>
          <w:rFonts w:ascii="Times New Roman" w:hAnsi="Times New Roman" w:cs="Times New Roman"/>
          <w:color w:val="000000" w:themeColor="text1"/>
        </w:rPr>
      </w:pPr>
      <w:r w:rsidRPr="00753AFF">
        <w:rPr>
          <w:rFonts w:ascii="Times New Roman" w:hAnsi="Times New Roman" w:cs="Times New Roman"/>
          <w:b/>
          <w:bCs/>
          <w:color w:val="000000" w:themeColor="text1"/>
          <w:u w:val="single"/>
        </w:rPr>
        <w:t>Answer:</w:t>
      </w:r>
      <w:r w:rsidR="009C5B1C" w:rsidRPr="009C5B1C"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A706CD5" wp14:editId="726457DF">
            <wp:extent cx="5537200" cy="3937000"/>
            <wp:effectExtent l="0" t="0" r="0" b="0"/>
            <wp:docPr id="1460527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2782" name="Picture 1460527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2644" w14:textId="739DA394" w:rsidR="00753AFF" w:rsidRPr="00753AFF" w:rsidRDefault="009C5B1C" w:rsidP="00753AF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 w:themeColor="text1"/>
        </w:rPr>
      </w:pPr>
      <w:r w:rsidRPr="00753AFF">
        <w:rPr>
          <w:rFonts w:ascii="Times New Roman" w:hAnsi="Times New Roman" w:cs="Times New Roman"/>
          <w:color w:val="000000" w:themeColor="text1"/>
        </w:rPr>
        <w:t>Calculate expected market return:</w:t>
      </w:r>
    </w:p>
    <w:p w14:paraId="1C8AEB8D" w14:textId="5F373EBA" w:rsidR="00753AFF" w:rsidRDefault="00753AFF" w:rsidP="00753AFF">
      <w:pPr>
        <w:ind w:left="72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56E47CD" wp14:editId="204C5D66">
            <wp:extent cx="2221907" cy="482785"/>
            <wp:effectExtent l="0" t="0" r="635" b="0"/>
            <wp:docPr id="18092465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46505" name="Picture 180924650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97" cy="50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A25E" w14:textId="77777777" w:rsidR="00753AFF" w:rsidRDefault="009C5B1C" w:rsidP="00753AFF">
      <w:pPr>
        <w:ind w:left="720"/>
        <w:rPr>
          <w:rFonts w:ascii="Times New Roman" w:hAnsi="Times New Roman" w:cs="Times New Roman"/>
          <w:color w:val="000000" w:themeColor="text1"/>
        </w:rPr>
      </w:pPr>
      <w:r w:rsidRPr="009C5B1C">
        <w:rPr>
          <w:rFonts w:ascii="Times New Roman" w:hAnsi="Times New Roman" w:cs="Times New Roman"/>
          <w:color w:val="000000" w:themeColor="text1"/>
        </w:rPr>
        <w:t>Plot equity premium (on vertical axis) vs b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9C5B1C">
        <w:rPr>
          <w:rFonts w:ascii="Times New Roman" w:hAnsi="Times New Roman" w:cs="Times New Roman"/>
          <w:color w:val="000000" w:themeColor="text1"/>
        </w:rPr>
        <w:t>.</w:t>
      </w:r>
    </w:p>
    <w:p w14:paraId="2DB4AA69" w14:textId="77777777" w:rsidR="00753AFF" w:rsidRDefault="00753AFF" w:rsidP="00753AFF">
      <w:pPr>
        <w:ind w:left="72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753AFF">
        <w:rPr>
          <w:rFonts w:ascii="Times New Roman" w:hAnsi="Times New Roman" w:cs="Times New Roman"/>
          <w:b/>
          <w:bCs/>
          <w:color w:val="000000" w:themeColor="text1"/>
          <w:u w:val="single"/>
        </w:rPr>
        <w:t>Answer:</w:t>
      </w:r>
    </w:p>
    <w:p w14:paraId="007DCCFF" w14:textId="16D96998" w:rsidR="009C5B1C" w:rsidRPr="009C5B1C" w:rsidRDefault="009C5B1C" w:rsidP="00753AFF">
      <w:pPr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C5B1C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br/>
      </w:r>
      <w:r w:rsidR="00753AFF" w:rsidRPr="00753AFF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0D90BEA" wp14:editId="29E87826">
            <wp:extent cx="5731510" cy="3892550"/>
            <wp:effectExtent l="0" t="0" r="0" b="6350"/>
            <wp:docPr id="384886417" name="Picture 11" descr="A graph of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86417" name="Picture 11" descr="A graph of a curv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1060" w14:textId="77777777" w:rsidR="009C5B1C" w:rsidRDefault="009C5B1C" w:rsidP="00753AFF">
      <w:pPr>
        <w:numPr>
          <w:ilvl w:val="0"/>
          <w:numId w:val="36"/>
        </w:numPr>
        <w:tabs>
          <w:tab w:val="num" w:pos="720"/>
        </w:tabs>
        <w:jc w:val="both"/>
        <w:rPr>
          <w:rFonts w:ascii="Times New Roman" w:hAnsi="Times New Roman" w:cs="Times New Roman"/>
          <w:color w:val="000000" w:themeColor="text1"/>
        </w:rPr>
      </w:pPr>
      <w:r w:rsidRPr="009C5B1C">
        <w:rPr>
          <w:rFonts w:ascii="Times New Roman" w:hAnsi="Times New Roman" w:cs="Times New Roman"/>
          <w:color w:val="000000" w:themeColor="text1"/>
        </w:rPr>
        <w:t>Briefly describe (in words, without using mathematical equations or formulas) main characteristics of v(∙) as well as economic significance and implications of b</w:t>
      </w:r>
      <w:r w:rsidRPr="009C5B1C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9C5B1C">
        <w:rPr>
          <w:rFonts w:ascii="Times New Roman" w:hAnsi="Times New Roman" w:cs="Times New Roman"/>
          <w:color w:val="000000" w:themeColor="text1"/>
        </w:rPr>
        <w:t> and λ.</w:t>
      </w:r>
    </w:p>
    <w:p w14:paraId="511ADD60" w14:textId="31A2FAE6" w:rsidR="00753AFF" w:rsidRDefault="00753AFF" w:rsidP="004B36B4">
      <w:pPr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753AFF">
        <w:rPr>
          <w:rFonts w:ascii="Times New Roman" w:hAnsi="Times New Roman" w:cs="Times New Roman"/>
          <w:b/>
          <w:bCs/>
          <w:color w:val="000000" w:themeColor="text1"/>
          <w:u w:val="single"/>
        </w:rPr>
        <w:t>Answer:</w:t>
      </w:r>
    </w:p>
    <w:p w14:paraId="017DB546" w14:textId="7948B780" w:rsidR="004B36B4" w:rsidRPr="003759F3" w:rsidRDefault="004B36B4" w:rsidP="004B36B4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3759F3">
        <w:rPr>
          <w:rFonts w:ascii="Times New Roman" w:hAnsi="Times New Roman" w:cs="Times New Roman"/>
          <w:i/>
          <w:iCs/>
          <w:color w:val="000000" w:themeColor="text1"/>
          <w:u w:val="single"/>
        </w:rPr>
        <w:t>Main characteristics of utility function (v(.)):</w:t>
      </w:r>
    </w:p>
    <w:p w14:paraId="2DE51B51" w14:textId="09163DC2" w:rsidR="004B36B4" w:rsidRDefault="00BD13CC" w:rsidP="004B36B4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v(.) is the utility function that measures investors utility </w:t>
      </w:r>
      <w:r w:rsidR="0023129D">
        <w:rPr>
          <w:rFonts w:ascii="Times New Roman" w:hAnsi="Times New Roman" w:cs="Times New Roman"/>
          <w:color w:val="000000" w:themeColor="text1"/>
        </w:rPr>
        <w:t xml:space="preserve">derived </w:t>
      </w:r>
      <w:r>
        <w:rPr>
          <w:rFonts w:ascii="Times New Roman" w:hAnsi="Times New Roman" w:cs="Times New Roman"/>
          <w:color w:val="000000" w:themeColor="text1"/>
        </w:rPr>
        <w:t xml:space="preserve">from the recent financial gains or losses. </w:t>
      </w:r>
      <w:r w:rsidR="004B36B4">
        <w:rPr>
          <w:rFonts w:ascii="Times New Roman" w:hAnsi="Times New Roman" w:cs="Times New Roman"/>
          <w:color w:val="000000" w:themeColor="text1"/>
        </w:rPr>
        <w:t>Utility</w:t>
      </w:r>
      <w:r w:rsidR="002A0B83">
        <w:rPr>
          <w:rFonts w:ascii="Times New Roman" w:hAnsi="Times New Roman" w:cs="Times New Roman"/>
          <w:color w:val="000000" w:themeColor="text1"/>
        </w:rPr>
        <w:t xml:space="preserve"> </w:t>
      </w:r>
      <w:r w:rsidR="004B36B4">
        <w:rPr>
          <w:rFonts w:ascii="Times New Roman" w:hAnsi="Times New Roman" w:cs="Times New Roman"/>
          <w:color w:val="000000" w:themeColor="text1"/>
        </w:rPr>
        <w:t>function</w:t>
      </w:r>
      <w:r>
        <w:rPr>
          <w:rFonts w:ascii="Times New Roman" w:hAnsi="Times New Roman" w:cs="Times New Roman"/>
          <w:color w:val="000000" w:themeColor="text1"/>
        </w:rPr>
        <w:t xml:space="preserve"> (v(.))</w:t>
      </w:r>
      <w:r w:rsidR="004B36B4">
        <w:rPr>
          <w:rFonts w:ascii="Times New Roman" w:hAnsi="Times New Roman" w:cs="Times New Roman"/>
          <w:color w:val="000000" w:themeColor="text1"/>
        </w:rPr>
        <w:t xml:space="preserve"> is </w:t>
      </w:r>
      <w:r w:rsidR="0023129D">
        <w:rPr>
          <w:rFonts w:ascii="Times New Roman" w:hAnsi="Times New Roman" w:cs="Times New Roman"/>
          <w:color w:val="000000" w:themeColor="text1"/>
        </w:rPr>
        <w:t xml:space="preserve">a </w:t>
      </w:r>
      <w:r w:rsidR="004B36B4">
        <w:rPr>
          <w:rFonts w:ascii="Times New Roman" w:hAnsi="Times New Roman" w:cs="Times New Roman"/>
          <w:color w:val="000000" w:themeColor="text1"/>
        </w:rPr>
        <w:t>piecewise-linear</w:t>
      </w:r>
      <w:r w:rsidR="0023129D">
        <w:rPr>
          <w:rFonts w:ascii="Times New Roman" w:hAnsi="Times New Roman" w:cs="Times New Roman"/>
          <w:color w:val="000000" w:themeColor="text1"/>
        </w:rPr>
        <w:t xml:space="preserve"> function that is</w:t>
      </w:r>
      <w:r w:rsidR="004B36B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always increasing and asymmetric</w:t>
      </w:r>
      <w:r w:rsidR="0023129D">
        <w:rPr>
          <w:rFonts w:ascii="Times New Roman" w:hAnsi="Times New Roman" w:cs="Times New Roman"/>
          <w:color w:val="000000" w:themeColor="text1"/>
        </w:rPr>
        <w:t>al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4B36B4">
        <w:rPr>
          <w:rFonts w:ascii="Times New Roman" w:hAnsi="Times New Roman" w:cs="Times New Roman"/>
          <w:color w:val="000000" w:themeColor="text1"/>
        </w:rPr>
        <w:t xml:space="preserve">The steepness / gradient </w:t>
      </w:r>
      <w:r w:rsidR="0023129D">
        <w:rPr>
          <w:rFonts w:ascii="Times New Roman" w:hAnsi="Times New Roman" w:cs="Times New Roman"/>
          <w:color w:val="000000" w:themeColor="text1"/>
        </w:rPr>
        <w:t>(</w:t>
      </w:r>
      <w:r w:rsidR="0023129D" w:rsidRPr="00161F88">
        <w:rPr>
          <w:rFonts w:ascii="Symbol" w:hAnsi="Symbol" w:cs="Times New Roman"/>
          <w:color w:val="000000" w:themeColor="text1"/>
        </w:rPr>
        <w:t>l</w:t>
      </w:r>
      <w:r w:rsidR="0023129D" w:rsidRPr="0023129D">
        <w:rPr>
          <w:rFonts w:ascii="Times New Roman" w:hAnsi="Times New Roman" w:cs="Times New Roman"/>
          <w:color w:val="000000" w:themeColor="text1"/>
        </w:rPr>
        <w:t>)</w:t>
      </w:r>
      <w:r w:rsidR="0023129D">
        <w:rPr>
          <w:rFonts w:ascii="Symbol" w:hAnsi="Symbol" w:cs="Times New Roman"/>
          <w:color w:val="000000" w:themeColor="text1"/>
        </w:rPr>
        <w:t xml:space="preserve"> </w:t>
      </w:r>
      <w:r w:rsidR="004B36B4">
        <w:rPr>
          <w:rFonts w:ascii="Times New Roman" w:hAnsi="Times New Roman" w:cs="Times New Roman"/>
          <w:color w:val="000000" w:themeColor="text1"/>
        </w:rPr>
        <w:t xml:space="preserve">of utility function is </w:t>
      </w:r>
      <w:r w:rsidR="00904C77">
        <w:rPr>
          <w:rFonts w:ascii="Times New Roman" w:hAnsi="Times New Roman" w:cs="Times New Roman"/>
          <w:color w:val="000000" w:themeColor="text1"/>
        </w:rPr>
        <w:t xml:space="preserve">always greater than 1 </w:t>
      </w:r>
      <w:r>
        <w:rPr>
          <w:rFonts w:ascii="Times New Roman" w:hAnsi="Times New Roman" w:cs="Times New Roman"/>
          <w:color w:val="000000" w:themeColor="text1"/>
        </w:rPr>
        <w:t>during recent financial loss</w:t>
      </w:r>
      <w:r w:rsidR="00904C77">
        <w:rPr>
          <w:rFonts w:ascii="Times New Roman" w:hAnsi="Times New Roman" w:cs="Times New Roman"/>
          <w:color w:val="000000" w:themeColor="text1"/>
        </w:rPr>
        <w:t>.</w:t>
      </w:r>
      <w:r w:rsidR="004B36B4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4B36B4">
        <w:rPr>
          <w:rFonts w:ascii="Times New Roman" w:hAnsi="Times New Roman" w:cs="Times New Roman"/>
          <w:color w:val="000000" w:themeColor="text1"/>
        </w:rPr>
        <w:t>This indicates loss aversion whereby investors are more sensitive to shortfall in financial gain (or outright financial loss</w:t>
      </w:r>
      <w:r w:rsidR="001D5DF2">
        <w:rPr>
          <w:rFonts w:ascii="Times New Roman" w:hAnsi="Times New Roman" w:cs="Times New Roman"/>
          <w:color w:val="000000" w:themeColor="text1"/>
        </w:rPr>
        <w:t>)</w:t>
      </w:r>
      <w:r w:rsidR="0023129D">
        <w:rPr>
          <w:rFonts w:ascii="Times New Roman" w:hAnsi="Times New Roman" w:cs="Times New Roman"/>
          <w:color w:val="000000" w:themeColor="text1"/>
        </w:rPr>
        <w:t xml:space="preserve"> compared to financial gain</w:t>
      </w:r>
      <w:r w:rsidR="00D15949">
        <w:rPr>
          <w:rFonts w:ascii="Times New Roman" w:hAnsi="Times New Roman" w:cs="Times New Roman"/>
          <w:color w:val="000000" w:themeColor="text1"/>
        </w:rPr>
        <w:t xml:space="preserve"> (of the same magnitude)</w:t>
      </w:r>
      <w:r w:rsidR="0023129D">
        <w:rPr>
          <w:rFonts w:ascii="Times New Roman" w:hAnsi="Times New Roman" w:cs="Times New Roman"/>
          <w:color w:val="000000" w:themeColor="text1"/>
        </w:rPr>
        <w:t>.</w:t>
      </w:r>
      <w:r w:rsidR="00D15949">
        <w:rPr>
          <w:rFonts w:ascii="Times New Roman" w:hAnsi="Times New Roman" w:cs="Times New Roman"/>
          <w:color w:val="000000" w:themeColor="text1"/>
        </w:rPr>
        <w:t xml:space="preserve"> The recent financial gain or loss is measured relative to reference level based on risk-free rate.</w:t>
      </w:r>
    </w:p>
    <w:p w14:paraId="625C6455" w14:textId="77777777" w:rsidR="006F6D2D" w:rsidRDefault="006F6D2D" w:rsidP="004B36B4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0755FD5B" w14:textId="43DED062" w:rsidR="003759F3" w:rsidRPr="003759F3" w:rsidRDefault="003759F3" w:rsidP="003759F3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3759F3">
        <w:rPr>
          <w:rFonts w:ascii="Times New Roman" w:hAnsi="Times New Roman" w:cs="Times New Roman"/>
          <w:i/>
          <w:iCs/>
          <w:color w:val="000000" w:themeColor="text1"/>
          <w:u w:val="single"/>
        </w:rPr>
        <w:t>Economic significance of b</w:t>
      </w:r>
      <w:r w:rsidRPr="003759F3">
        <w:rPr>
          <w:rFonts w:ascii="Times New Roman" w:hAnsi="Times New Roman" w:cs="Times New Roman"/>
          <w:i/>
          <w:iCs/>
          <w:color w:val="000000" w:themeColor="text1"/>
          <w:u w:val="single"/>
          <w:vertAlign w:val="subscript"/>
        </w:rPr>
        <w:t>0</w:t>
      </w:r>
      <w:r w:rsidRPr="003759F3">
        <w:rPr>
          <w:rFonts w:ascii="Times New Roman" w:hAnsi="Times New Roman" w:cs="Times New Roman"/>
          <w:i/>
          <w:iCs/>
          <w:color w:val="000000" w:themeColor="text1"/>
          <w:u w:val="single"/>
        </w:rPr>
        <w:t>:</w:t>
      </w:r>
    </w:p>
    <w:p w14:paraId="3DCD8E11" w14:textId="691C36EB" w:rsidR="008163D3" w:rsidRDefault="003759F3" w:rsidP="002E792A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</w:t>
      </w:r>
      <w:r w:rsidRPr="003759F3">
        <w:rPr>
          <w:rFonts w:ascii="Times New Roman" w:hAnsi="Times New Roman" w:cs="Times New Roman"/>
          <w:color w:val="000000" w:themeColor="text1"/>
          <w:vertAlign w:val="subscript"/>
        </w:rPr>
        <w:t>0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&gt;= 0 determines the extent to which utility from recent financial gain or loss contributes to investor’s lifetime utility. </w:t>
      </w:r>
      <w:r>
        <w:rPr>
          <w:rFonts w:ascii="Times New Roman" w:hAnsi="Times New Roman" w:cs="Times New Roman"/>
          <w:color w:val="000000" w:themeColor="text1"/>
        </w:rPr>
        <w:t>b</w:t>
      </w:r>
      <w:r w:rsidRPr="003759F3">
        <w:rPr>
          <w:rFonts w:ascii="Times New Roman" w:hAnsi="Times New Roman" w:cs="Times New Roman"/>
          <w:color w:val="000000" w:themeColor="text1"/>
          <w:vertAlign w:val="subscript"/>
        </w:rPr>
        <w:t>0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can be seen as a </w:t>
      </w:r>
      <w:r w:rsidR="00223B64">
        <w:rPr>
          <w:rFonts w:ascii="Times New Roman" w:hAnsi="Times New Roman" w:cs="Times New Roman"/>
          <w:color w:val="000000" w:themeColor="text1"/>
        </w:rPr>
        <w:t>scaler</w:t>
      </w:r>
      <w:r>
        <w:rPr>
          <w:rFonts w:ascii="Times New Roman" w:hAnsi="Times New Roman" w:cs="Times New Roman"/>
          <w:color w:val="000000" w:themeColor="text1"/>
        </w:rPr>
        <w:t xml:space="preserve"> to allocate weight between the </w:t>
      </w:r>
      <w:r w:rsidR="001D5DF2">
        <w:rPr>
          <w:rFonts w:ascii="Times New Roman" w:hAnsi="Times New Roman" w:cs="Times New Roman"/>
          <w:color w:val="000000" w:themeColor="text1"/>
        </w:rPr>
        <w:t xml:space="preserve">contribution of </w:t>
      </w:r>
      <w:r>
        <w:rPr>
          <w:rFonts w:ascii="Times New Roman" w:hAnsi="Times New Roman" w:cs="Times New Roman"/>
          <w:color w:val="000000" w:themeColor="text1"/>
        </w:rPr>
        <w:t>consumption (1</w:t>
      </w:r>
      <w:r w:rsidRPr="003759F3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term) and recent financial gain or loss (2</w:t>
      </w:r>
      <w:r w:rsidRPr="003759F3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</w:rPr>
        <w:t xml:space="preserve"> term). </w:t>
      </w:r>
      <w:r w:rsidRPr="002E792A">
        <w:rPr>
          <w:rFonts w:ascii="Times New Roman" w:hAnsi="Times New Roman" w:cs="Times New Roman"/>
          <w:color w:val="000000" w:themeColor="text1"/>
        </w:rPr>
        <w:t xml:space="preserve">If </w:t>
      </w:r>
      <w:r w:rsidRPr="002E792A">
        <w:rPr>
          <w:rFonts w:ascii="Times New Roman" w:hAnsi="Times New Roman" w:cs="Times New Roman"/>
          <w:color w:val="000000" w:themeColor="text1"/>
        </w:rPr>
        <w:t>b</w:t>
      </w:r>
      <w:r w:rsidRPr="002E792A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2E792A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8163D3" w:rsidRPr="002E792A">
        <w:rPr>
          <w:rFonts w:ascii="Times New Roman" w:hAnsi="Times New Roman" w:cs="Times New Roman"/>
          <w:color w:val="000000" w:themeColor="text1"/>
        </w:rPr>
        <w:t>= 0, it means no utility is derived from recent financial gain or loss</w:t>
      </w:r>
      <w:r w:rsidR="00223B64">
        <w:rPr>
          <w:rFonts w:ascii="Times New Roman" w:hAnsi="Times New Roman" w:cs="Times New Roman"/>
          <w:color w:val="000000" w:themeColor="text1"/>
        </w:rPr>
        <w:t xml:space="preserve"> (no prospect theory, thus revert back to the standard power utility theory)</w:t>
      </w:r>
      <w:r w:rsidR="002E792A">
        <w:rPr>
          <w:rFonts w:ascii="Times New Roman" w:hAnsi="Times New Roman" w:cs="Times New Roman"/>
          <w:color w:val="000000" w:themeColor="text1"/>
        </w:rPr>
        <w:t>. The</w:t>
      </w:r>
      <w:r w:rsidR="008163D3">
        <w:rPr>
          <w:rFonts w:ascii="Times New Roman" w:hAnsi="Times New Roman" w:cs="Times New Roman"/>
          <w:color w:val="000000" w:themeColor="text1"/>
        </w:rPr>
        <w:t xml:space="preserve"> higher </w:t>
      </w:r>
      <w:r w:rsidR="002E792A">
        <w:rPr>
          <w:rFonts w:ascii="Times New Roman" w:hAnsi="Times New Roman" w:cs="Times New Roman"/>
          <w:color w:val="000000" w:themeColor="text1"/>
        </w:rPr>
        <w:t xml:space="preserve">the </w:t>
      </w:r>
      <w:r w:rsidR="008163D3" w:rsidRPr="008163D3">
        <w:rPr>
          <w:rFonts w:ascii="Times New Roman" w:hAnsi="Times New Roman" w:cs="Times New Roman"/>
          <w:color w:val="000000" w:themeColor="text1"/>
        </w:rPr>
        <w:t>b</w:t>
      </w:r>
      <w:r w:rsidR="008163D3" w:rsidRPr="008163D3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="008163D3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8163D3">
        <w:rPr>
          <w:rFonts w:ascii="Times New Roman" w:hAnsi="Times New Roman" w:cs="Times New Roman"/>
          <w:color w:val="000000" w:themeColor="text1"/>
        </w:rPr>
        <w:t xml:space="preserve">means </w:t>
      </w:r>
      <w:r w:rsidR="002E792A">
        <w:rPr>
          <w:rFonts w:ascii="Times New Roman" w:hAnsi="Times New Roman" w:cs="Times New Roman"/>
          <w:color w:val="000000" w:themeColor="text1"/>
        </w:rPr>
        <w:t xml:space="preserve">the </w:t>
      </w:r>
      <w:r w:rsidR="008163D3">
        <w:rPr>
          <w:rFonts w:ascii="Times New Roman" w:hAnsi="Times New Roman" w:cs="Times New Roman"/>
          <w:color w:val="000000" w:themeColor="text1"/>
        </w:rPr>
        <w:t xml:space="preserve">greater </w:t>
      </w:r>
      <w:r w:rsidR="002E792A">
        <w:rPr>
          <w:rFonts w:ascii="Times New Roman" w:hAnsi="Times New Roman" w:cs="Times New Roman"/>
          <w:color w:val="000000" w:themeColor="text1"/>
        </w:rPr>
        <w:t>the weight/contribution of</w:t>
      </w:r>
      <w:r w:rsidR="008163D3">
        <w:rPr>
          <w:rFonts w:ascii="Times New Roman" w:hAnsi="Times New Roman" w:cs="Times New Roman"/>
          <w:color w:val="000000" w:themeColor="text1"/>
        </w:rPr>
        <w:t xml:space="preserve"> financial gain or loss</w:t>
      </w:r>
      <w:r w:rsidR="002E792A">
        <w:rPr>
          <w:rFonts w:ascii="Times New Roman" w:hAnsi="Times New Roman" w:cs="Times New Roman"/>
          <w:color w:val="000000" w:themeColor="text1"/>
        </w:rPr>
        <w:t xml:space="preserve"> to investors utility.</w:t>
      </w:r>
      <w:r w:rsidR="006F0223">
        <w:rPr>
          <w:rFonts w:ascii="Times New Roman" w:hAnsi="Times New Roman" w:cs="Times New Roman"/>
          <w:color w:val="000000" w:themeColor="text1"/>
        </w:rPr>
        <w:t xml:space="preserve"> In addition, the higher the </w:t>
      </w:r>
      <w:r w:rsidR="006F0223" w:rsidRPr="008163D3">
        <w:rPr>
          <w:rFonts w:ascii="Times New Roman" w:hAnsi="Times New Roman" w:cs="Times New Roman"/>
          <w:color w:val="000000" w:themeColor="text1"/>
        </w:rPr>
        <w:t>b</w:t>
      </w:r>
      <w:r w:rsidR="006F0223" w:rsidRPr="008163D3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="006F0223">
        <w:rPr>
          <w:rFonts w:ascii="Times New Roman" w:hAnsi="Times New Roman" w:cs="Times New Roman"/>
          <w:color w:val="000000" w:themeColor="text1"/>
          <w:vertAlign w:val="subscript"/>
        </w:rPr>
        <w:t xml:space="preserve">, </w:t>
      </w:r>
      <w:r w:rsidR="006F0223">
        <w:rPr>
          <w:rFonts w:ascii="Times New Roman" w:hAnsi="Times New Roman" w:cs="Times New Roman"/>
          <w:color w:val="000000" w:themeColor="text1"/>
        </w:rPr>
        <w:t xml:space="preserve">the </w:t>
      </w:r>
      <w:r w:rsidR="004209C8">
        <w:rPr>
          <w:rFonts w:ascii="Times New Roman" w:hAnsi="Times New Roman" w:cs="Times New Roman"/>
          <w:color w:val="000000" w:themeColor="text1"/>
        </w:rPr>
        <w:t xml:space="preserve">price-to-dividend ratio will be lower (as plotted in </w:t>
      </w:r>
      <w:r w:rsidR="004209C8">
        <w:rPr>
          <w:rFonts w:ascii="Times New Roman" w:hAnsi="Times New Roman" w:cs="Times New Roman"/>
          <w:color w:val="000000" w:themeColor="text1"/>
        </w:rPr>
        <w:lastRenderedPageBreak/>
        <w:t>question number 1), while the equity premium will be higher (as plotted in question number 2).</w:t>
      </w:r>
    </w:p>
    <w:p w14:paraId="0B4B84AC" w14:textId="77777777" w:rsidR="00014FB1" w:rsidRDefault="00014FB1" w:rsidP="008163D3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4FFBD9A4" w14:textId="1A263E02" w:rsidR="006F6D2D" w:rsidRPr="006F6D2D" w:rsidRDefault="006F6D2D" w:rsidP="006F6D2D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6F6D2D">
        <w:rPr>
          <w:rFonts w:ascii="Times New Roman" w:hAnsi="Times New Roman" w:cs="Times New Roman"/>
          <w:i/>
          <w:iCs/>
          <w:color w:val="000000" w:themeColor="text1"/>
          <w:u w:val="single"/>
        </w:rPr>
        <w:t xml:space="preserve">Economic significance of </w:t>
      </w:r>
      <w:r w:rsidRPr="006F6D2D">
        <w:rPr>
          <w:rFonts w:ascii="Symbol" w:hAnsi="Symbol" w:cs="Times New Roman"/>
          <w:i/>
          <w:iCs/>
          <w:color w:val="000000" w:themeColor="text1"/>
          <w:u w:val="single"/>
        </w:rPr>
        <w:t>l</w:t>
      </w:r>
      <w:r w:rsidRPr="006F6D2D">
        <w:rPr>
          <w:rFonts w:ascii="Symbol" w:hAnsi="Symbol" w:cs="Times New Roman"/>
          <w:i/>
          <w:iCs/>
          <w:color w:val="000000" w:themeColor="text1"/>
          <w:u w:val="single"/>
        </w:rPr>
        <w:t>:</w:t>
      </w:r>
    </w:p>
    <w:p w14:paraId="2DAFA687" w14:textId="031EA466" w:rsidR="00161F88" w:rsidRPr="00215CD0" w:rsidRDefault="00161F88" w:rsidP="00161F88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161F88">
        <w:rPr>
          <w:rFonts w:ascii="Symbol" w:hAnsi="Symbol" w:cs="Times New Roman"/>
          <w:color w:val="000000" w:themeColor="text1"/>
        </w:rPr>
        <w:t>l</w:t>
      </w:r>
      <w:r>
        <w:rPr>
          <w:rFonts w:ascii="Symbol" w:hAnsi="Symbol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represents </w:t>
      </w:r>
      <w:r w:rsidR="00B47590">
        <w:rPr>
          <w:rFonts w:ascii="Times New Roman" w:hAnsi="Times New Roman" w:cs="Times New Roman"/>
          <w:color w:val="000000" w:themeColor="text1"/>
        </w:rPr>
        <w:t>the loss aversion coefficient in the utility function representing recent financial loss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B47590">
        <w:rPr>
          <w:rFonts w:ascii="Times New Roman" w:hAnsi="Times New Roman" w:cs="Times New Roman"/>
          <w:color w:val="000000" w:themeColor="text1"/>
        </w:rPr>
        <w:t xml:space="preserve">The higher the </w:t>
      </w:r>
      <w:r w:rsidR="00B47590">
        <w:rPr>
          <w:rFonts w:ascii="Symbol" w:hAnsi="Symbol" w:cs="Times New Roman"/>
          <w:color w:val="000000" w:themeColor="text1"/>
        </w:rPr>
        <w:t xml:space="preserve">l, </w:t>
      </w:r>
      <w:proofErr w:type="spellStart"/>
      <w:r w:rsidR="00B47590">
        <w:rPr>
          <w:rFonts w:ascii="Times New Roman" w:hAnsi="Times New Roman" w:cs="Times New Roman"/>
          <w:color w:val="000000" w:themeColor="text1"/>
        </w:rPr>
        <w:t>the</w:t>
      </w:r>
      <w:proofErr w:type="spellEnd"/>
      <w:r w:rsidR="00B47590">
        <w:rPr>
          <w:rFonts w:ascii="Times New Roman" w:hAnsi="Times New Roman" w:cs="Times New Roman"/>
          <w:color w:val="000000" w:themeColor="text1"/>
        </w:rPr>
        <w:t xml:space="preserve"> more sensitive investor to losses compared to gains</w:t>
      </w:r>
      <w:r w:rsidR="00215CD0">
        <w:rPr>
          <w:rFonts w:ascii="Times New Roman" w:hAnsi="Times New Roman" w:cs="Times New Roman"/>
          <w:color w:val="000000" w:themeColor="text1"/>
        </w:rPr>
        <w:t xml:space="preserve"> and steeper slope in the utility function from financial loss, which leads to higher equity premium demanded by investors</w:t>
      </w:r>
      <w:r w:rsidR="00B47590">
        <w:rPr>
          <w:rFonts w:ascii="Times New Roman" w:hAnsi="Times New Roman" w:cs="Times New Roman"/>
          <w:color w:val="000000" w:themeColor="text1"/>
        </w:rPr>
        <w:t>.</w:t>
      </w:r>
      <w:r w:rsidR="00B4759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Empirically, in real life</w:t>
      </w:r>
      <w:r w:rsidR="00553DB8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Symbol" w:hAnsi="Symbol" w:cs="Times New Roman"/>
          <w:color w:val="000000" w:themeColor="text1"/>
        </w:rPr>
        <w:t>l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is approximately 2, which means that investors are twice as sensitive for </w:t>
      </w:r>
      <w:r>
        <w:rPr>
          <w:rFonts w:ascii="Times New Roman" w:hAnsi="Times New Roman" w:cs="Times New Roman"/>
          <w:color w:val="000000" w:themeColor="text1"/>
        </w:rPr>
        <w:t>financial losses compared to financial gains.</w:t>
      </w:r>
      <w:r w:rsidR="00215CD0">
        <w:rPr>
          <w:rFonts w:ascii="Times New Roman" w:hAnsi="Times New Roman" w:cs="Times New Roman"/>
          <w:color w:val="000000" w:themeColor="text1"/>
        </w:rPr>
        <w:t xml:space="preserve"> In addition, in the House Money Effect assumption, investor would become more loss averse with accumulated financial loss. </w:t>
      </w:r>
      <w:r w:rsidR="00215CD0" w:rsidRPr="00161F88">
        <w:rPr>
          <w:rFonts w:ascii="Symbol" w:hAnsi="Symbol" w:cs="Times New Roman"/>
          <w:color w:val="000000" w:themeColor="text1"/>
        </w:rPr>
        <w:t>l</w:t>
      </w:r>
      <w:r w:rsidR="00215CD0">
        <w:rPr>
          <w:rFonts w:ascii="Symbol" w:hAnsi="Symbol" w:cs="Times New Roman"/>
          <w:color w:val="000000" w:themeColor="text1"/>
        </w:rPr>
        <w:t xml:space="preserve"> </w:t>
      </w:r>
      <w:r w:rsidR="00215CD0">
        <w:rPr>
          <w:rFonts w:ascii="Times New Roman" w:hAnsi="Times New Roman" w:cs="Times New Roman"/>
          <w:color w:val="000000" w:themeColor="text1"/>
        </w:rPr>
        <w:t>will increase by one for every 2% shortfall in value of the investment in stock (relative to appropriate reference level).</w:t>
      </w:r>
    </w:p>
    <w:p w14:paraId="1D402C28" w14:textId="46945CAA" w:rsidR="006F6D2D" w:rsidRPr="00161F88" w:rsidRDefault="006F6D2D" w:rsidP="006F6D2D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14:paraId="4EEE1827" w14:textId="77777777" w:rsidR="006F6D2D" w:rsidRPr="008163D3" w:rsidRDefault="006F6D2D" w:rsidP="008163D3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3497A85A" w14:textId="77777777" w:rsidR="004B36B4" w:rsidRPr="004B36B4" w:rsidRDefault="004B36B4" w:rsidP="004B36B4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0337267F" w14:textId="77777777" w:rsidR="009C5B1C" w:rsidRPr="009C5B1C" w:rsidRDefault="009C5B1C" w:rsidP="009C5B1C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724D390" w14:textId="77777777" w:rsidR="009C5B1C" w:rsidRPr="000F6D5E" w:rsidRDefault="009C5B1C" w:rsidP="00324C07">
      <w:pPr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sectPr w:rsidR="009C5B1C" w:rsidRPr="000F6D5E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EDC07" w14:textId="77777777" w:rsidR="00F16681" w:rsidRDefault="00F16681" w:rsidP="00C94F28">
      <w:pPr>
        <w:spacing w:after="0" w:line="240" w:lineRule="auto"/>
      </w:pPr>
      <w:r>
        <w:separator/>
      </w:r>
    </w:p>
  </w:endnote>
  <w:endnote w:type="continuationSeparator" w:id="0">
    <w:p w14:paraId="32F0573B" w14:textId="77777777" w:rsidR="00F16681" w:rsidRDefault="00F16681" w:rsidP="00C94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4D4FE" w14:textId="77777777" w:rsidR="00F16681" w:rsidRDefault="00F16681" w:rsidP="00C94F28">
      <w:pPr>
        <w:spacing w:after="0" w:line="240" w:lineRule="auto"/>
      </w:pPr>
      <w:r>
        <w:separator/>
      </w:r>
    </w:p>
  </w:footnote>
  <w:footnote w:type="continuationSeparator" w:id="0">
    <w:p w14:paraId="4ADAAA9C" w14:textId="77777777" w:rsidR="00F16681" w:rsidRDefault="00F16681" w:rsidP="00C94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26DFE" w14:textId="1E6088FB" w:rsidR="00C94F28" w:rsidRPr="00C94F28" w:rsidRDefault="00AC2811" w:rsidP="00C94F28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Name: </w:t>
    </w:r>
    <w:r w:rsidR="00C94F28" w:rsidRPr="00C94F28">
      <w:rPr>
        <w:rFonts w:ascii="Times New Roman" w:hAnsi="Times New Roman" w:cs="Times New Roman"/>
        <w:lang w:val="en-US"/>
      </w:rPr>
      <w:t xml:space="preserve">Kevin Montana Wongso                </w:t>
    </w:r>
    <w:r>
      <w:rPr>
        <w:rFonts w:ascii="Times New Roman" w:hAnsi="Times New Roman" w:cs="Times New Roman"/>
        <w:lang w:val="en-US"/>
      </w:rPr>
      <w:t xml:space="preserve">                                               Student ID: </w:t>
    </w:r>
    <w:r w:rsidR="00C94F28">
      <w:rPr>
        <w:rFonts w:ascii="Times New Roman" w:hAnsi="Times New Roman" w:cs="Times New Roman"/>
        <w:lang w:val="en-US"/>
      </w:rPr>
      <w:t>01501554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4CFA"/>
    <w:multiLevelType w:val="hybridMultilevel"/>
    <w:tmpl w:val="4476E6CE"/>
    <w:lvl w:ilvl="0" w:tplc="AE98B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B1C61"/>
    <w:multiLevelType w:val="multilevel"/>
    <w:tmpl w:val="F61292B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1246D9"/>
    <w:multiLevelType w:val="multilevel"/>
    <w:tmpl w:val="6AE8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0F40B2"/>
    <w:multiLevelType w:val="multilevel"/>
    <w:tmpl w:val="7A9C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715279"/>
    <w:multiLevelType w:val="multilevel"/>
    <w:tmpl w:val="62F4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9177D"/>
    <w:multiLevelType w:val="multilevel"/>
    <w:tmpl w:val="7F20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2A065C"/>
    <w:multiLevelType w:val="multilevel"/>
    <w:tmpl w:val="3934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2069B5"/>
    <w:multiLevelType w:val="multilevel"/>
    <w:tmpl w:val="344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8444EC"/>
    <w:multiLevelType w:val="multilevel"/>
    <w:tmpl w:val="9ACE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2A7D92"/>
    <w:multiLevelType w:val="hybridMultilevel"/>
    <w:tmpl w:val="07BAC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A1AE8"/>
    <w:multiLevelType w:val="multilevel"/>
    <w:tmpl w:val="EFBC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466570"/>
    <w:multiLevelType w:val="hybridMultilevel"/>
    <w:tmpl w:val="7F184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1A1E68"/>
    <w:multiLevelType w:val="multilevel"/>
    <w:tmpl w:val="427C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BB6B24"/>
    <w:multiLevelType w:val="hybridMultilevel"/>
    <w:tmpl w:val="5ADAF0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F17D9F"/>
    <w:multiLevelType w:val="multilevel"/>
    <w:tmpl w:val="0DD2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2B32F7"/>
    <w:multiLevelType w:val="hybridMultilevel"/>
    <w:tmpl w:val="018CB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D5B8F"/>
    <w:multiLevelType w:val="hybridMultilevel"/>
    <w:tmpl w:val="D144DCA4"/>
    <w:lvl w:ilvl="0" w:tplc="8EE211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7F0666"/>
    <w:multiLevelType w:val="hybridMultilevel"/>
    <w:tmpl w:val="3F8AEC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7D5884"/>
    <w:multiLevelType w:val="hybridMultilevel"/>
    <w:tmpl w:val="582C0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92EA6"/>
    <w:multiLevelType w:val="multilevel"/>
    <w:tmpl w:val="A7E2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926B83"/>
    <w:multiLevelType w:val="multilevel"/>
    <w:tmpl w:val="9528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A448E0"/>
    <w:multiLevelType w:val="hybridMultilevel"/>
    <w:tmpl w:val="9EA0F2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B0033"/>
    <w:multiLevelType w:val="multilevel"/>
    <w:tmpl w:val="C3C0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32465D"/>
    <w:multiLevelType w:val="hybridMultilevel"/>
    <w:tmpl w:val="9BA823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33B0B"/>
    <w:multiLevelType w:val="hybridMultilevel"/>
    <w:tmpl w:val="6C684C68"/>
    <w:lvl w:ilvl="0" w:tplc="08090019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CE6490C"/>
    <w:multiLevelType w:val="multilevel"/>
    <w:tmpl w:val="3738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9B7862"/>
    <w:multiLevelType w:val="hybridMultilevel"/>
    <w:tmpl w:val="52E0B7BE"/>
    <w:lvl w:ilvl="0" w:tplc="6A4A2C8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E50889"/>
    <w:multiLevelType w:val="hybridMultilevel"/>
    <w:tmpl w:val="23F00222"/>
    <w:lvl w:ilvl="0" w:tplc="1054DF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73A8A"/>
    <w:multiLevelType w:val="hybridMultilevel"/>
    <w:tmpl w:val="E63E7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F7A01"/>
    <w:multiLevelType w:val="multilevel"/>
    <w:tmpl w:val="9094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3F6825"/>
    <w:multiLevelType w:val="hybridMultilevel"/>
    <w:tmpl w:val="20EA3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66DF5"/>
    <w:multiLevelType w:val="hybridMultilevel"/>
    <w:tmpl w:val="BCA8F7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F24FE"/>
    <w:multiLevelType w:val="hybridMultilevel"/>
    <w:tmpl w:val="BDB45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D35B7A"/>
    <w:multiLevelType w:val="hybridMultilevel"/>
    <w:tmpl w:val="7D42B3EC"/>
    <w:lvl w:ilvl="0" w:tplc="140A1D4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3E5DF7"/>
    <w:multiLevelType w:val="multilevel"/>
    <w:tmpl w:val="3D0E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3D121D"/>
    <w:multiLevelType w:val="hybridMultilevel"/>
    <w:tmpl w:val="7DEC2634"/>
    <w:lvl w:ilvl="0" w:tplc="E5FA3AD6">
      <w:start w:val="5"/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CC5370"/>
    <w:multiLevelType w:val="hybridMultilevel"/>
    <w:tmpl w:val="DB528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8AD58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DC6A8F2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F68EB"/>
    <w:multiLevelType w:val="hybridMultilevel"/>
    <w:tmpl w:val="70A6FCDE"/>
    <w:lvl w:ilvl="0" w:tplc="E18090A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75121D3"/>
    <w:multiLevelType w:val="hybridMultilevel"/>
    <w:tmpl w:val="BEF40DB6"/>
    <w:lvl w:ilvl="0" w:tplc="85DCBC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86716">
    <w:abstractNumId w:val="31"/>
  </w:num>
  <w:num w:numId="2" w16cid:durableId="928467392">
    <w:abstractNumId w:val="15"/>
  </w:num>
  <w:num w:numId="3" w16cid:durableId="575479558">
    <w:abstractNumId w:val="20"/>
  </w:num>
  <w:num w:numId="4" w16cid:durableId="1740858275">
    <w:abstractNumId w:val="38"/>
  </w:num>
  <w:num w:numId="5" w16cid:durableId="899947367">
    <w:abstractNumId w:val="35"/>
  </w:num>
  <w:num w:numId="6" w16cid:durableId="1905023845">
    <w:abstractNumId w:val="7"/>
  </w:num>
  <w:num w:numId="7" w16cid:durableId="1900625832">
    <w:abstractNumId w:val="22"/>
  </w:num>
  <w:num w:numId="8" w16cid:durableId="1905263734">
    <w:abstractNumId w:val="4"/>
  </w:num>
  <w:num w:numId="9" w16cid:durableId="1111165867">
    <w:abstractNumId w:val="23"/>
  </w:num>
  <w:num w:numId="10" w16cid:durableId="1573197854">
    <w:abstractNumId w:val="36"/>
  </w:num>
  <w:num w:numId="11" w16cid:durableId="142087281">
    <w:abstractNumId w:val="34"/>
  </w:num>
  <w:num w:numId="12" w16cid:durableId="1658803288">
    <w:abstractNumId w:val="25"/>
  </w:num>
  <w:num w:numId="13" w16cid:durableId="752893831">
    <w:abstractNumId w:val="37"/>
  </w:num>
  <w:num w:numId="14" w16cid:durableId="1167406729">
    <w:abstractNumId w:val="3"/>
  </w:num>
  <w:num w:numId="15" w16cid:durableId="1801726955">
    <w:abstractNumId w:val="30"/>
  </w:num>
  <w:num w:numId="16" w16cid:durableId="1440835484">
    <w:abstractNumId w:val="29"/>
  </w:num>
  <w:num w:numId="17" w16cid:durableId="839194911">
    <w:abstractNumId w:val="10"/>
  </w:num>
  <w:num w:numId="18" w16cid:durableId="1373191949">
    <w:abstractNumId w:val="33"/>
  </w:num>
  <w:num w:numId="19" w16cid:durableId="2048528262">
    <w:abstractNumId w:val="13"/>
  </w:num>
  <w:num w:numId="20" w16cid:durableId="183400922">
    <w:abstractNumId w:val="32"/>
  </w:num>
  <w:num w:numId="21" w16cid:durableId="310181912">
    <w:abstractNumId w:val="24"/>
  </w:num>
  <w:num w:numId="22" w16cid:durableId="399405167">
    <w:abstractNumId w:val="17"/>
  </w:num>
  <w:num w:numId="23" w16cid:durableId="2118599352">
    <w:abstractNumId w:val="1"/>
  </w:num>
  <w:num w:numId="24" w16cid:durableId="760639783">
    <w:abstractNumId w:val="12"/>
  </w:num>
  <w:num w:numId="25" w16cid:durableId="919602410">
    <w:abstractNumId w:val="14"/>
  </w:num>
  <w:num w:numId="26" w16cid:durableId="2068800915">
    <w:abstractNumId w:val="19"/>
  </w:num>
  <w:num w:numId="27" w16cid:durableId="1459831785">
    <w:abstractNumId w:val="9"/>
  </w:num>
  <w:num w:numId="28" w16cid:durableId="762385617">
    <w:abstractNumId w:val="11"/>
  </w:num>
  <w:num w:numId="29" w16cid:durableId="1229145919">
    <w:abstractNumId w:val="2"/>
  </w:num>
  <w:num w:numId="30" w16cid:durableId="2133597893">
    <w:abstractNumId w:val="18"/>
  </w:num>
  <w:num w:numId="31" w16cid:durableId="1816334588">
    <w:abstractNumId w:val="16"/>
  </w:num>
  <w:num w:numId="32" w16cid:durableId="1362239738">
    <w:abstractNumId w:val="0"/>
  </w:num>
  <w:num w:numId="33" w16cid:durableId="1313291455">
    <w:abstractNumId w:val="26"/>
  </w:num>
  <w:num w:numId="34" w16cid:durableId="892038988">
    <w:abstractNumId w:val="8"/>
  </w:num>
  <w:num w:numId="35" w16cid:durableId="6640727">
    <w:abstractNumId w:val="5"/>
  </w:num>
  <w:num w:numId="36" w16cid:durableId="916742643">
    <w:abstractNumId w:val="28"/>
  </w:num>
  <w:num w:numId="37" w16cid:durableId="837812652">
    <w:abstractNumId w:val="21"/>
  </w:num>
  <w:num w:numId="38" w16cid:durableId="1750231984">
    <w:abstractNumId w:val="27"/>
  </w:num>
  <w:num w:numId="39" w16cid:durableId="1449005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28"/>
    <w:rsid w:val="000036B2"/>
    <w:rsid w:val="00014FB1"/>
    <w:rsid w:val="00020A0F"/>
    <w:rsid w:val="00030053"/>
    <w:rsid w:val="00033EA1"/>
    <w:rsid w:val="00054453"/>
    <w:rsid w:val="00087919"/>
    <w:rsid w:val="000968D3"/>
    <w:rsid w:val="000C0399"/>
    <w:rsid w:val="000E182E"/>
    <w:rsid w:val="000F2376"/>
    <w:rsid w:val="000F6D5E"/>
    <w:rsid w:val="0011583E"/>
    <w:rsid w:val="00133F07"/>
    <w:rsid w:val="00135C75"/>
    <w:rsid w:val="00137F33"/>
    <w:rsid w:val="00152CFA"/>
    <w:rsid w:val="00157247"/>
    <w:rsid w:val="00161F88"/>
    <w:rsid w:val="00170B7C"/>
    <w:rsid w:val="00193D75"/>
    <w:rsid w:val="001A42DC"/>
    <w:rsid w:val="001D5DF2"/>
    <w:rsid w:val="00215CD0"/>
    <w:rsid w:val="00223B64"/>
    <w:rsid w:val="0023129D"/>
    <w:rsid w:val="002418D8"/>
    <w:rsid w:val="002800C6"/>
    <w:rsid w:val="00282BBE"/>
    <w:rsid w:val="00287117"/>
    <w:rsid w:val="002A0B83"/>
    <w:rsid w:val="002D33DD"/>
    <w:rsid w:val="002D3F61"/>
    <w:rsid w:val="002D64DF"/>
    <w:rsid w:val="002E792A"/>
    <w:rsid w:val="002F42CD"/>
    <w:rsid w:val="00324C07"/>
    <w:rsid w:val="00350C7E"/>
    <w:rsid w:val="00357E03"/>
    <w:rsid w:val="003740B6"/>
    <w:rsid w:val="003759F3"/>
    <w:rsid w:val="003B1132"/>
    <w:rsid w:val="003D4D5E"/>
    <w:rsid w:val="00400D15"/>
    <w:rsid w:val="004209C8"/>
    <w:rsid w:val="004901AA"/>
    <w:rsid w:val="00491474"/>
    <w:rsid w:val="004B36B4"/>
    <w:rsid w:val="004C288E"/>
    <w:rsid w:val="004D5625"/>
    <w:rsid w:val="004E4B7B"/>
    <w:rsid w:val="00500CDD"/>
    <w:rsid w:val="00515643"/>
    <w:rsid w:val="00524CC1"/>
    <w:rsid w:val="00535877"/>
    <w:rsid w:val="005371B7"/>
    <w:rsid w:val="00553DB8"/>
    <w:rsid w:val="00590F44"/>
    <w:rsid w:val="00594DEC"/>
    <w:rsid w:val="005A3836"/>
    <w:rsid w:val="005A67C4"/>
    <w:rsid w:val="005D2438"/>
    <w:rsid w:val="005E74AA"/>
    <w:rsid w:val="00607DEF"/>
    <w:rsid w:val="006251BB"/>
    <w:rsid w:val="0063069A"/>
    <w:rsid w:val="00632983"/>
    <w:rsid w:val="0066183A"/>
    <w:rsid w:val="00662B9C"/>
    <w:rsid w:val="00682AFA"/>
    <w:rsid w:val="006A1AE1"/>
    <w:rsid w:val="006C3A25"/>
    <w:rsid w:val="006C5335"/>
    <w:rsid w:val="006E5494"/>
    <w:rsid w:val="006F0223"/>
    <w:rsid w:val="006F6D2D"/>
    <w:rsid w:val="007016CB"/>
    <w:rsid w:val="0070228E"/>
    <w:rsid w:val="00744139"/>
    <w:rsid w:val="00753AFF"/>
    <w:rsid w:val="00755C75"/>
    <w:rsid w:val="0076781A"/>
    <w:rsid w:val="00790304"/>
    <w:rsid w:val="00791715"/>
    <w:rsid w:val="00796A10"/>
    <w:rsid w:val="007A1810"/>
    <w:rsid w:val="007C1E20"/>
    <w:rsid w:val="007D7DCD"/>
    <w:rsid w:val="00815F6E"/>
    <w:rsid w:val="008163D3"/>
    <w:rsid w:val="0082339A"/>
    <w:rsid w:val="008237AF"/>
    <w:rsid w:val="00832296"/>
    <w:rsid w:val="00846D2F"/>
    <w:rsid w:val="00850FAE"/>
    <w:rsid w:val="0085164B"/>
    <w:rsid w:val="00873F90"/>
    <w:rsid w:val="00880BCC"/>
    <w:rsid w:val="00881663"/>
    <w:rsid w:val="0088207D"/>
    <w:rsid w:val="00893C72"/>
    <w:rsid w:val="008B2184"/>
    <w:rsid w:val="008D21BB"/>
    <w:rsid w:val="008D3D69"/>
    <w:rsid w:val="008D7818"/>
    <w:rsid w:val="008E7679"/>
    <w:rsid w:val="00904C77"/>
    <w:rsid w:val="00922F27"/>
    <w:rsid w:val="00961395"/>
    <w:rsid w:val="0097122B"/>
    <w:rsid w:val="0099654D"/>
    <w:rsid w:val="009A7D9B"/>
    <w:rsid w:val="009C5B1C"/>
    <w:rsid w:val="00A21CB2"/>
    <w:rsid w:val="00A36C36"/>
    <w:rsid w:val="00A5541D"/>
    <w:rsid w:val="00A74341"/>
    <w:rsid w:val="00A96212"/>
    <w:rsid w:val="00AB1850"/>
    <w:rsid w:val="00AB2866"/>
    <w:rsid w:val="00AC2811"/>
    <w:rsid w:val="00AC589F"/>
    <w:rsid w:val="00AD5F95"/>
    <w:rsid w:val="00B41C20"/>
    <w:rsid w:val="00B44900"/>
    <w:rsid w:val="00B464CF"/>
    <w:rsid w:val="00B47590"/>
    <w:rsid w:val="00B633F6"/>
    <w:rsid w:val="00B646A7"/>
    <w:rsid w:val="00B74BFF"/>
    <w:rsid w:val="00B80096"/>
    <w:rsid w:val="00B93E5C"/>
    <w:rsid w:val="00B95EF9"/>
    <w:rsid w:val="00BA79F5"/>
    <w:rsid w:val="00BB75A7"/>
    <w:rsid w:val="00BC63F0"/>
    <w:rsid w:val="00BD13CC"/>
    <w:rsid w:val="00BD1899"/>
    <w:rsid w:val="00BE6338"/>
    <w:rsid w:val="00C32868"/>
    <w:rsid w:val="00C61550"/>
    <w:rsid w:val="00C86F4D"/>
    <w:rsid w:val="00C943F9"/>
    <w:rsid w:val="00C94F28"/>
    <w:rsid w:val="00CB2057"/>
    <w:rsid w:val="00CB3772"/>
    <w:rsid w:val="00D15949"/>
    <w:rsid w:val="00D26570"/>
    <w:rsid w:val="00D50558"/>
    <w:rsid w:val="00D5301E"/>
    <w:rsid w:val="00D55E3C"/>
    <w:rsid w:val="00D714E3"/>
    <w:rsid w:val="00D75C0D"/>
    <w:rsid w:val="00DA03F9"/>
    <w:rsid w:val="00DA37D2"/>
    <w:rsid w:val="00DB37DA"/>
    <w:rsid w:val="00DC0328"/>
    <w:rsid w:val="00DC561B"/>
    <w:rsid w:val="00DF56F6"/>
    <w:rsid w:val="00DF6922"/>
    <w:rsid w:val="00E0020F"/>
    <w:rsid w:val="00E615B2"/>
    <w:rsid w:val="00E6771A"/>
    <w:rsid w:val="00E811C7"/>
    <w:rsid w:val="00E93B0B"/>
    <w:rsid w:val="00EA314D"/>
    <w:rsid w:val="00EA5F0F"/>
    <w:rsid w:val="00EC781B"/>
    <w:rsid w:val="00ED0802"/>
    <w:rsid w:val="00EF3524"/>
    <w:rsid w:val="00F0674E"/>
    <w:rsid w:val="00F16681"/>
    <w:rsid w:val="00F4700D"/>
    <w:rsid w:val="00F6058F"/>
    <w:rsid w:val="00F60B3E"/>
    <w:rsid w:val="00F6697A"/>
    <w:rsid w:val="00F76791"/>
    <w:rsid w:val="00F92BD3"/>
    <w:rsid w:val="00FA2370"/>
    <w:rsid w:val="00FA6EBA"/>
    <w:rsid w:val="00FC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174A"/>
  <w15:chartTrackingRefBased/>
  <w15:docId w15:val="{960F6044-A0AE-5241-9871-59CC1F04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F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4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F28"/>
  </w:style>
  <w:style w:type="paragraph" w:styleId="Footer">
    <w:name w:val="footer"/>
    <w:basedOn w:val="Normal"/>
    <w:link w:val="FooterChar"/>
    <w:uiPriority w:val="99"/>
    <w:unhideWhenUsed/>
    <w:rsid w:val="00C94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F28"/>
  </w:style>
  <w:style w:type="table" w:styleId="TableGrid">
    <w:name w:val="Table Grid"/>
    <w:basedOn w:val="TableNormal"/>
    <w:uiPriority w:val="39"/>
    <w:rsid w:val="00C94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94F2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83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836"/>
    <w:rPr>
      <w:rFonts w:ascii="Consolas" w:hAnsi="Consolas" w:cs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Montana WONGSO</dc:creator>
  <cp:keywords/>
  <dc:description/>
  <cp:lastModifiedBy>Kevin Montana WONGSO</cp:lastModifiedBy>
  <cp:revision>141</cp:revision>
  <cp:lastPrinted>2024-11-02T11:53:00Z</cp:lastPrinted>
  <dcterms:created xsi:type="dcterms:W3CDTF">2024-09-13T15:22:00Z</dcterms:created>
  <dcterms:modified xsi:type="dcterms:W3CDTF">2024-11-02T14:30:00Z</dcterms:modified>
</cp:coreProperties>
</file>