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4.jpeg" ContentType="image/jpeg"/>
  <Override PartName="/word/media/image3.png" ContentType="image/png"/>
  <Override PartName="/word/media/image11.png" ContentType="image/png"/>
  <Override PartName="/word/media/image5.jpeg" ContentType="image/jpeg"/>
  <Override PartName="/word/media/image7.png" ContentType="image/png"/>
  <Override PartName="/word/media/image6.jpeg" ContentType="image/jpeg"/>
  <Override PartName="/word/media/image8.png" ContentType="image/png"/>
  <Override PartName="/word/media/image9.png" ContentType="image/png"/>
  <Override PartName="/word/media/image10.png" ContentType="image/png"/>
  <Override PartName="/word/media/image12.png" ContentType="image/png"/>
  <Override PartName="/word/media/image13.png" ContentType="image/png"/>
  <Override PartName="/word/media/image14.png" ContentType="image/png"/>
  <Override PartName="/word/media/image15.jpeg" ContentType="image/jpeg"/>
  <Override PartName="/word/media/image16.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000091"/>
        <w:spacing w:before="0" w:after="0"/>
        <w:rPr/>
      </w:pPr>
      <w:r>
        <w:rPr/>
      </w:r>
    </w:p>
    <w:p>
      <w:pPr>
        <w:pStyle w:val="Normal"/>
        <w:shd w:val="clear" w:fill="E1000F"/>
        <w:spacing w:before="0" w:after="0"/>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color w:val="6A6AF4"/>
          <w:sz w:val="24"/>
        </w:rPr>
        <w:t>PLUGIN QGIS</w:t>
      </w:r>
    </w:p>
    <w:p>
      <w:pPr>
        <w:pStyle w:val="Normal"/>
        <w:spacing w:before="120" w:after="200"/>
        <w:jc w:val="center"/>
        <w:rPr/>
      </w:pPr>
      <w:r>
        <w:rPr>
          <w:b/>
          <w:color w:val="000091"/>
          <w:sz w:val="96"/>
        </w:rPr>
        <w:t>Archéolog'IA</w:t>
      </w:r>
    </w:p>
    <w:p>
      <w:pPr>
        <w:pStyle w:val="Normal"/>
        <w:pBdr>
          <w:bottom w:val="single" w:sz="24" w:space="4" w:color="000091"/>
        </w:pBdr>
        <w:ind w:left="3118" w:right="3118"/>
        <w:jc w:val="center"/>
        <w:rPr/>
      </w:pPr>
      <w:r>
        <w:rPr/>
      </w:r>
    </w:p>
    <w:p>
      <w:pPr>
        <w:pStyle w:val="Normal"/>
        <w:spacing w:before="160" w:after="200"/>
        <w:jc w:val="center"/>
        <w:rPr/>
      </w:pPr>
      <w:r>
        <w:rPr>
          <w:i/>
          <w:color w:val="1F2E5E"/>
          <w:sz w:val="44"/>
        </w:rPr>
        <w:t>Documentation utilisateur</w:t>
      </w:r>
    </w:p>
    <w:p>
      <w:pPr>
        <w:pStyle w:val="Blocdecitationuser"/>
        <w:spacing w:before="360" w:after="200"/>
        <w:jc w:val="center"/>
        <w:rPr>
          <w:rFonts w:ascii="Segoe UI" w:hAnsi="Segoe UI"/>
          <w:color w:val="666666"/>
          <w:sz w:val="26"/>
        </w:rPr>
      </w:pPr>
      <w:r>
        <w:rPr>
          <w:color w:val="666666"/>
          <w:sz w:val="26"/>
        </w:rPr>
        <w:t>Pipeline intégré de traitement LiDAR et de détection archéologique par IA</w:t>
      </w:r>
    </w:p>
    <w:p>
      <w:pPr>
        <w:pStyle w:val="Normal"/>
        <w:spacing w:before="360" w:after="200"/>
        <w:jc w:val="center"/>
        <w:rPr>
          <w:rFonts w:ascii="Segoe UI" w:hAnsi="Segoe UI"/>
          <w:color w:val="666666"/>
          <w:sz w:val="26"/>
        </w:rPr>
      </w:pPr>
      <w:r>
        <w:rPr>
          <w:color w:val="666666"/>
          <w:sz w:val="26"/>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color w:val="000091"/>
          <w:sz w:val="22"/>
        </w:rPr>
        <w:t xml:space="preserve">Version </w:t>
      </w:r>
      <w:r>
        <w:rPr>
          <w:b/>
          <w:color w:val="000091"/>
          <w:sz w:val="22"/>
        </w:rPr>
        <w:t>1</w:t>
      </w:r>
      <w:r>
        <w:rPr>
          <w:b/>
          <w:color w:val="000091"/>
          <w:sz w:val="22"/>
        </w:rPr>
        <w:t>.0</w:t>
      </w:r>
    </w:p>
    <w:p>
      <w:pPr>
        <w:pStyle w:val="Normal"/>
        <w:jc w:val="center"/>
        <w:rPr/>
      </w:pPr>
      <w:r>
        <w:rPr>
          <w:i/>
          <w:color w:val="666666"/>
          <w:sz w:val="20"/>
        </w:rPr>
        <w:t>betagouv · 2026</w:t>
      </w:r>
    </w:p>
    <w:p>
      <w:pPr>
        <w:pStyle w:val="Normal"/>
        <w:rPr/>
      </w:pPr>
      <w:r>
        <w:rPr/>
      </w:r>
    </w:p>
    <w:p>
      <w:pPr>
        <w:pStyle w:val="Normal"/>
        <w:rPr/>
      </w:pPr>
      <w:r>
        <w:rPr/>
      </w:r>
    </w:p>
    <w:p>
      <w:pPr>
        <w:pStyle w:val="Normal"/>
        <w:shd w:val="clear" w:fill="E1000F"/>
        <w:spacing w:before="0" w:after="0"/>
        <w:rPr/>
      </w:pPr>
      <w:r>
        <w:rPr/>
      </w:r>
    </w:p>
    <w:p>
      <w:pPr>
        <w:pStyle w:val="Normal"/>
        <w:shd w:val="clear" w:fill="000091"/>
        <w:spacing w:before="0" w:after="0"/>
        <w:rPr/>
      </w:pPr>
      <w:r>
        <w:rPr/>
      </w:r>
    </w:p>
    <w:p>
      <w:pPr>
        <w:pStyle w:val="Normal"/>
        <w:rPr/>
      </w:pPr>
      <w:r>
        <w:rPr/>
      </w:r>
      <w:r>
        <w:br w:type="page"/>
      </w:r>
    </w:p>
    <w:p>
      <w:pPr>
        <w:pStyle w:val="Heading1"/>
        <w:pBdr>
          <w:left w:val="single" w:sz="36" w:space="10" w:color="000091"/>
        </w:pBdr>
        <w:spacing w:before="0" w:after="120"/>
        <w:ind w:left="170"/>
        <w:rPr/>
      </w:pPr>
      <w:bookmarkStart w:id="0" w:name="__RefHeading___Toc3875_1193836322"/>
      <w:bookmarkEnd w:id="0"/>
      <w:r>
        <w:rPr>
          <w:rFonts w:ascii="Segoe UI" w:hAnsi="Segoe UI"/>
          <w:b/>
          <w:color w:val="000091"/>
          <w:sz w:val="44"/>
        </w:rPr>
        <w:t>Table des matières</w:t>
      </w:r>
    </w:p>
    <w:p>
      <w:pPr>
        <w:pStyle w:val="Normal"/>
        <w:pBdr>
          <w:bottom w:val="single" w:sz="12" w:space="1" w:color="6A6AF4"/>
        </w:pBdr>
        <w:spacing w:before="0" w:after="120"/>
        <w:rPr/>
      </w:pPr>
      <w:r>
        <w:rPr/>
      </w:r>
    </w:p>
    <w:p>
      <w:pPr>
        <w:pStyle w:val="Normal"/>
        <w:spacing w:before="0" w:after="200"/>
        <w:rPr/>
      </w:pPr>
      <w:r>
        <w:rPr>
          <w:i/>
          <w:color w:val="666666"/>
          <w:sz w:val="18"/>
        </w:rPr>
        <w:t>Astuce : si les numéros de page ne s'affichent pas, faites un clic droit dans la TDM et choisissez « Mettre à jour les champs » (ou appuyez sur F9).</w:t>
      </w:r>
    </w:p>
    <w:sdt>
      <w:sdtPr>
        <w:docPartObj>
          <w:docPartGallery w:val="Table of Contents"/>
          <w:docPartUnique w:val="true"/>
        </w:docPartObj>
      </w:sdtPr>
      <w:sdtContent>
        <w:p>
          <w:pPr>
            <w:pStyle w:val="TOC1"/>
            <w:tabs>
              <w:tab w:val="clear" w:pos="9972"/>
              <w:tab w:val="right" w:pos="9971" w:leader="dot"/>
            </w:tabs>
            <w:rPr/>
          </w:pPr>
          <w:r>
            <w:fldChar w:fldCharType="begin"/>
          </w:r>
          <w:r>
            <w:rPr>
              <w:webHidden/>
              <w:rStyle w:val="Sautdindex"/>
            </w:rPr>
            <w:instrText xml:space="preserve"> TOC \z \o "1-3" \u \h</w:instrText>
          </w:r>
          <w:r>
            <w:rPr>
              <w:webHidden/>
              <w:rStyle w:val="Sautdindex"/>
            </w:rPr>
            <w:fldChar w:fldCharType="separate"/>
          </w:r>
          <w:hyperlink w:anchor="__RefHeading___Toc3875_1193836322">
            <w:r>
              <w:rPr>
                <w:webHidden/>
                <w:rStyle w:val="Sautdindex"/>
              </w:rPr>
              <w:t>Table des matières</w:t>
              <w:tab/>
              <w:t>3</w:t>
            </w:r>
          </w:hyperlink>
        </w:p>
        <w:p>
          <w:pPr>
            <w:pStyle w:val="TOC1"/>
            <w:tabs>
              <w:tab w:val="clear" w:pos="9972"/>
              <w:tab w:val="right" w:pos="9971" w:leader="dot"/>
            </w:tabs>
            <w:rPr/>
          </w:pPr>
          <w:hyperlink w:anchor="__RefHeading___Toc3877_1193836322">
            <w:r>
              <w:rPr>
                <w:webHidden/>
                <w:rStyle w:val="Sautdindex"/>
              </w:rPr>
              <w:t xml:space="preserve">💡 </w:t>
            </w:r>
            <w:r>
              <w:rPr>
                <w:rStyle w:val="Sautdindex"/>
              </w:rPr>
              <w:t>1. Introduction</w:t>
              <w:tab/>
              <w:t>7</w:t>
            </w:r>
          </w:hyperlink>
        </w:p>
        <w:p>
          <w:pPr>
            <w:pStyle w:val="TOC2"/>
            <w:tabs>
              <w:tab w:val="clear" w:pos="9689"/>
              <w:tab w:val="right" w:pos="9971" w:leader="dot"/>
            </w:tabs>
            <w:rPr/>
          </w:pPr>
          <w:hyperlink w:anchor="__RefHeading___Toc3879_1193836322">
            <w:r>
              <w:rPr>
                <w:webHidden/>
                <w:rStyle w:val="Sautdindex"/>
              </w:rPr>
              <w:t>Comment ça marche — le pipeline de traitement</w:t>
              <w:tab/>
              <w:t>7</w:t>
            </w:r>
          </w:hyperlink>
        </w:p>
        <w:p>
          <w:pPr>
            <w:pStyle w:val="TOC2"/>
            <w:tabs>
              <w:tab w:val="clear" w:pos="9689"/>
              <w:tab w:val="right" w:pos="9971" w:leader="dot"/>
            </w:tabs>
            <w:rPr/>
          </w:pPr>
          <w:hyperlink w:anchor="__RefHeading___Toc3881_1193836322">
            <w:r>
              <w:rPr>
                <w:webHidden/>
                <w:rStyle w:val="Sautdindex"/>
              </w:rPr>
              <w:t>Deux parcours de lecture</w:t>
              <w:tab/>
              <w:t>8</w:t>
            </w:r>
          </w:hyperlink>
        </w:p>
        <w:p>
          <w:pPr>
            <w:pStyle w:val="TOC1"/>
            <w:tabs>
              <w:tab w:val="clear" w:pos="9972"/>
              <w:tab w:val="right" w:pos="9971" w:leader="dot"/>
            </w:tabs>
            <w:rPr/>
          </w:pPr>
          <w:hyperlink w:anchor="__RefHeading___Toc3883_1193836322">
            <w:r>
              <w:rPr>
                <w:webHidden/>
                <w:rStyle w:val="Sautdindex"/>
              </w:rPr>
              <w:t xml:space="preserve">📋 </w:t>
            </w:r>
            <w:r>
              <w:rPr>
                <w:rStyle w:val="Sautdindex"/>
              </w:rPr>
              <w:t>2. Prérequis et installation</w:t>
              <w:tab/>
              <w:t>8</w:t>
            </w:r>
          </w:hyperlink>
        </w:p>
        <w:p>
          <w:pPr>
            <w:pStyle w:val="TOC2"/>
            <w:tabs>
              <w:tab w:val="clear" w:pos="9689"/>
              <w:tab w:val="right" w:pos="9971" w:leader="dot"/>
            </w:tabs>
            <w:rPr/>
          </w:pPr>
          <w:hyperlink w:anchor="__RefHeading___Toc3885_1193836322">
            <w:r>
              <w:rPr>
                <w:webHidden/>
                <w:rStyle w:val="Sautdindex"/>
              </w:rPr>
              <w:t>2.1 Logiciels requis</w:t>
              <w:tab/>
              <w:t>8</w:t>
            </w:r>
          </w:hyperlink>
        </w:p>
        <w:p>
          <w:pPr>
            <w:pStyle w:val="TOC2"/>
            <w:tabs>
              <w:tab w:val="clear" w:pos="9689"/>
              <w:tab w:val="right" w:pos="9971" w:leader="dot"/>
            </w:tabs>
            <w:rPr/>
          </w:pPr>
          <w:hyperlink w:anchor="__RefHeading___Toc3887_1193836322">
            <w:r>
              <w:rPr>
                <w:webHidden/>
                <w:rStyle w:val="Sautdindex"/>
              </w:rPr>
              <w:t>2.2 Installation du plugin</w:t>
              <w:tab/>
              <w:t>9</w:t>
            </w:r>
          </w:hyperlink>
        </w:p>
        <w:p>
          <w:pPr>
            <w:pStyle w:val="TOC2"/>
            <w:tabs>
              <w:tab w:val="clear" w:pos="9689"/>
              <w:tab w:val="right" w:pos="9971" w:leader="dot"/>
            </w:tabs>
            <w:rPr/>
          </w:pPr>
          <w:hyperlink w:anchor="__RefHeading___Toc3897_1193836322">
            <w:r>
              <w:rPr>
                <w:webHidden/>
                <w:rStyle w:val="Sautdindex"/>
              </w:rPr>
              <w:t>2.3 Vérification de l'installation</w:t>
              <w:tab/>
              <w:t>9</w:t>
            </w:r>
          </w:hyperlink>
        </w:p>
        <w:p>
          <w:pPr>
            <w:pStyle w:val="TOC1"/>
            <w:tabs>
              <w:tab w:val="clear" w:pos="9972"/>
              <w:tab w:val="right" w:pos="9971" w:leader="dot"/>
            </w:tabs>
            <w:rPr/>
          </w:pPr>
          <w:hyperlink w:anchor="__RefHeading___Toc3899_1193836322">
            <w:r>
              <w:rPr>
                <w:webHidden/>
                <w:rStyle w:val="Sautdindex"/>
              </w:rPr>
              <w:t xml:space="preserve">🚀 </w:t>
            </w:r>
            <w:r>
              <w:rPr>
                <w:rStyle w:val="Sautdindex"/>
              </w:rPr>
              <w:t>3. Démarrage rapide</w:t>
              <w:tab/>
              <w:t>10</w:t>
            </w:r>
          </w:hyperlink>
        </w:p>
        <w:p>
          <w:pPr>
            <w:pStyle w:val="TOC2"/>
            <w:tabs>
              <w:tab w:val="clear" w:pos="9689"/>
              <w:tab w:val="right" w:pos="9971" w:leader="dot"/>
            </w:tabs>
            <w:rPr/>
          </w:pPr>
          <w:hyperlink w:anchor="__RefHeading___Toc3901_1193836322">
            <w:r>
              <w:rPr>
                <w:webHidden/>
                <w:rStyle w:val="Sautdindex"/>
              </w:rPr>
              <w:t>Étape 1 — Ouvrir le plugin</w:t>
              <w:tab/>
              <w:t>10</w:t>
            </w:r>
          </w:hyperlink>
        </w:p>
        <w:p>
          <w:pPr>
            <w:pStyle w:val="TOC2"/>
            <w:tabs>
              <w:tab w:val="clear" w:pos="9689"/>
              <w:tab w:val="right" w:pos="9971" w:leader="dot"/>
            </w:tabs>
            <w:rPr/>
          </w:pPr>
          <w:hyperlink w:anchor="__RefHeading___Toc3903_1193836322">
            <w:r>
              <w:rPr>
                <w:webHidden/>
                <w:rStyle w:val="Sautdindex"/>
              </w:rPr>
              <w:t>Étape 2 — Choisir le mode de traitement</w:t>
              <w:tab/>
              <w:t>11</w:t>
            </w:r>
          </w:hyperlink>
        </w:p>
        <w:p>
          <w:pPr>
            <w:pStyle w:val="TOC2"/>
            <w:tabs>
              <w:tab w:val="clear" w:pos="9689"/>
              <w:tab w:val="right" w:pos="9971" w:leader="dot"/>
            </w:tabs>
            <w:rPr/>
          </w:pPr>
          <w:hyperlink w:anchor="__RefHeading___Toc3905_1193836322">
            <w:r>
              <w:rPr>
                <w:webHidden/>
                <w:rStyle w:val="Sautdindex"/>
              </w:rPr>
              <w:t>Étape 3 — Sélectionner la source de données</w:t>
              <w:tab/>
              <w:t>11</w:t>
            </w:r>
          </w:hyperlink>
        </w:p>
        <w:p>
          <w:pPr>
            <w:pStyle w:val="TOC2"/>
            <w:tabs>
              <w:tab w:val="clear" w:pos="9689"/>
              <w:tab w:val="right" w:pos="9971" w:leader="dot"/>
            </w:tabs>
            <w:rPr/>
          </w:pPr>
          <w:hyperlink w:anchor="__RefHeading___Toc3907_1193836322">
            <w:r>
              <w:rPr>
                <w:webHidden/>
                <w:rStyle w:val="Sautdindex"/>
              </w:rPr>
              <w:t>Étape 4 — Choisir le dossier de sortie</w:t>
              <w:tab/>
              <w:t>12</w:t>
            </w:r>
          </w:hyperlink>
        </w:p>
        <w:p>
          <w:pPr>
            <w:pStyle w:val="TOC2"/>
            <w:tabs>
              <w:tab w:val="clear" w:pos="9689"/>
              <w:tab w:val="right" w:pos="9971" w:leader="dot"/>
            </w:tabs>
            <w:rPr/>
          </w:pPr>
          <w:hyperlink w:anchor="__RefHeading___Toc3909_1193836322">
            <w:r>
              <w:rPr>
                <w:webHidden/>
                <w:rStyle w:val="Sautdindex"/>
              </w:rPr>
              <w:t>Étape 5 — Sélectionner les produits à générer</w:t>
              <w:tab/>
              <w:t>12</w:t>
            </w:r>
          </w:hyperlink>
        </w:p>
        <w:p>
          <w:pPr>
            <w:pStyle w:val="TOC2"/>
            <w:tabs>
              <w:tab w:val="clear" w:pos="9689"/>
              <w:tab w:val="right" w:pos="9971" w:leader="dot"/>
            </w:tabs>
            <w:rPr/>
          </w:pPr>
          <w:hyperlink w:anchor="__RefHeading___Toc3911_1193836322">
            <w:r>
              <w:rPr>
                <w:webHidden/>
                <w:rStyle w:val="Sautdindex"/>
              </w:rPr>
              <w:t>Étape 6 — Activer la Computer Vision (optionnel)</w:t>
              <w:tab/>
              <w:t>13</w:t>
            </w:r>
          </w:hyperlink>
        </w:p>
        <w:p>
          <w:pPr>
            <w:pStyle w:val="TOC2"/>
            <w:tabs>
              <w:tab w:val="clear" w:pos="9689"/>
              <w:tab w:val="right" w:pos="9971" w:leader="dot"/>
            </w:tabs>
            <w:rPr/>
          </w:pPr>
          <w:hyperlink w:anchor="__RefHeading___Toc3913_1193836322">
            <w:r>
              <w:rPr>
                <w:webHidden/>
                <w:rStyle w:val="Sautdindex"/>
              </w:rPr>
              <w:t>Étape 7 — Lancer le traitement</w:t>
              <w:tab/>
              <w:t>15</w:t>
            </w:r>
          </w:hyperlink>
        </w:p>
        <w:p>
          <w:pPr>
            <w:pStyle w:val="TOC2"/>
            <w:tabs>
              <w:tab w:val="clear" w:pos="9689"/>
              <w:tab w:val="right" w:pos="9971" w:leader="dot"/>
            </w:tabs>
            <w:rPr/>
          </w:pPr>
          <w:hyperlink w:anchor="__RefHeading___Toc3915_1193836322">
            <w:r>
              <w:rPr>
                <w:webHidden/>
                <w:rStyle w:val="Sautdindex"/>
              </w:rPr>
              <w:t>Étape 8 — Consulter les résultats</w:t>
              <w:tab/>
              <w:t>15</w:t>
            </w:r>
          </w:hyperlink>
        </w:p>
        <w:p>
          <w:pPr>
            <w:pStyle w:val="TOC1"/>
            <w:tabs>
              <w:tab w:val="clear" w:pos="9972"/>
              <w:tab w:val="right" w:pos="9971" w:leader="dot"/>
            </w:tabs>
            <w:rPr/>
          </w:pPr>
          <w:hyperlink w:anchor="__RefHeading___Toc3917_1193836322">
            <w:r>
              <w:rPr>
                <w:webHidden/>
                <w:rStyle w:val="Sautdindex"/>
              </w:rPr>
              <w:t xml:space="preserve">🗺️ </w:t>
            </w:r>
            <w:r>
              <w:rPr>
                <w:rStyle w:val="Sautdindex"/>
              </w:rPr>
              <w:t>4. Les 4 modes de traitement</w:t>
              <w:tab/>
              <w:t>17</w:t>
            </w:r>
          </w:hyperlink>
        </w:p>
        <w:p>
          <w:pPr>
            <w:pStyle w:val="TOC2"/>
            <w:tabs>
              <w:tab w:val="clear" w:pos="9689"/>
              <w:tab w:val="right" w:pos="9971" w:leader="dot"/>
            </w:tabs>
            <w:rPr/>
          </w:pPr>
          <w:hyperlink w:anchor="__RefHeading___Toc3919_1193836322">
            <w:r>
              <w:rPr>
                <w:webHidden/>
                <w:rStyle w:val="Sautdindex"/>
              </w:rPr>
              <w:t>4.0 Synthèse des 4 modes</w:t>
              <w:tab/>
              <w:t>17</w:t>
            </w:r>
          </w:hyperlink>
        </w:p>
        <w:p>
          <w:pPr>
            <w:pStyle w:val="TOC2"/>
            <w:tabs>
              <w:tab w:val="clear" w:pos="9689"/>
              <w:tab w:val="right" w:pos="9971" w:leader="dot"/>
            </w:tabs>
            <w:rPr/>
          </w:pPr>
          <w:hyperlink w:anchor="__RefHeading___Toc3921_1193836322">
            <w:r>
              <w:rPr>
                <w:webHidden/>
                <w:rStyle w:val="Sautdindex"/>
              </w:rPr>
              <w:t>4.1 Mode ign_laz — Données LiDAR IGN (recommandé)</w:t>
              <w:tab/>
              <w:t>17</w:t>
            </w:r>
          </w:hyperlink>
        </w:p>
        <w:p>
          <w:pPr>
            <w:pStyle w:val="TOC2"/>
            <w:tabs>
              <w:tab w:val="clear" w:pos="9689"/>
              <w:tab w:val="right" w:pos="9971" w:leader="dot"/>
            </w:tabs>
            <w:rPr/>
          </w:pPr>
          <w:hyperlink w:anchor="__RefHeading___Toc3923_1193836322">
            <w:r>
              <w:rPr>
                <w:webHidden/>
                <w:rStyle w:val="Sautdindex"/>
              </w:rPr>
              <w:t>4.2 Mode local_laz — Fichiers LAZ locaux</w:t>
              <w:tab/>
              <w:t>18</w:t>
            </w:r>
          </w:hyperlink>
        </w:p>
        <w:p>
          <w:pPr>
            <w:pStyle w:val="TOC2"/>
            <w:tabs>
              <w:tab w:val="clear" w:pos="9689"/>
              <w:tab w:val="right" w:pos="9971" w:leader="dot"/>
            </w:tabs>
            <w:rPr/>
          </w:pPr>
          <w:hyperlink w:anchor="__RefHeading___Toc3925_1193836322">
            <w:r>
              <w:rPr>
                <w:webHidden/>
                <w:rStyle w:val="Sautdindex"/>
              </w:rPr>
              <w:t>4.3 Mode existing_mnt — MNT déjà calculés</w:t>
              <w:tab/>
              <w:t>18</w:t>
            </w:r>
          </w:hyperlink>
        </w:p>
        <w:p>
          <w:pPr>
            <w:pStyle w:val="TOC2"/>
            <w:tabs>
              <w:tab w:val="clear" w:pos="9689"/>
              <w:tab w:val="right" w:pos="9971" w:leader="dot"/>
            </w:tabs>
            <w:rPr/>
          </w:pPr>
          <w:hyperlink w:anchor="__RefHeading___Toc3927_1193836322">
            <w:r>
              <w:rPr>
                <w:webHidden/>
                <w:rStyle w:val="Sautdindex"/>
              </w:rPr>
              <w:t>4.4 Mode existing_rvt — Indices de visualisation déjà produits</w:t>
              <w:tab/>
              <w:t>18</w:t>
            </w:r>
          </w:hyperlink>
        </w:p>
        <w:p>
          <w:pPr>
            <w:pStyle w:val="TOC1"/>
            <w:tabs>
              <w:tab w:val="clear" w:pos="9972"/>
              <w:tab w:val="right" w:pos="9971" w:leader="dot"/>
            </w:tabs>
            <w:rPr/>
          </w:pPr>
          <w:hyperlink w:anchor="__RefHeading___Toc3929_1193836322">
            <w:r>
              <w:rPr>
                <w:webHidden/>
                <w:rStyle w:val="Sautdindex"/>
              </w:rPr>
              <w:t xml:space="preserve">⚙️ </w:t>
            </w:r>
            <w:r>
              <w:rPr>
                <w:rStyle w:val="Sautdindex"/>
              </w:rPr>
              <w:t>5. Configuration de base</w:t>
              <w:tab/>
              <w:t>19</w:t>
            </w:r>
          </w:hyperlink>
        </w:p>
        <w:p>
          <w:pPr>
            <w:pStyle w:val="TOC2"/>
            <w:tabs>
              <w:tab w:val="clear" w:pos="9689"/>
              <w:tab w:val="right" w:pos="9971" w:leader="dot"/>
            </w:tabs>
            <w:rPr/>
          </w:pPr>
          <w:hyperlink w:anchor="__RefHeading___Toc3931_1193836322">
            <w:r>
              <w:rPr>
                <w:webHidden/>
                <w:rStyle w:val="Sautdindex"/>
              </w:rPr>
              <w:t>5.1 Section Sources</w:t>
              <w:tab/>
              <w:t>19</w:t>
            </w:r>
          </w:hyperlink>
        </w:p>
        <w:p>
          <w:pPr>
            <w:pStyle w:val="TOC2"/>
            <w:tabs>
              <w:tab w:val="clear" w:pos="9689"/>
              <w:tab w:val="right" w:pos="9971" w:leader="dot"/>
            </w:tabs>
            <w:rPr/>
          </w:pPr>
          <w:hyperlink w:anchor="__RefHeading___Toc3933_1193836322">
            <w:r>
              <w:rPr>
                <w:webHidden/>
                <w:rStyle w:val="Sautdindex"/>
              </w:rPr>
              <w:t>5.2 Section MNT et Indices de visualisation</w:t>
              <w:tab/>
              <w:t>19</w:t>
            </w:r>
          </w:hyperlink>
        </w:p>
        <w:p>
          <w:pPr>
            <w:pStyle w:val="TOC2"/>
            <w:tabs>
              <w:tab w:val="clear" w:pos="9689"/>
              <w:tab w:val="right" w:pos="9971" w:leader="dot"/>
            </w:tabs>
            <w:rPr/>
          </w:pPr>
          <w:hyperlink w:anchor="__RefHeading___Toc3935_1193836322">
            <w:r>
              <w:rPr>
                <w:webHidden/>
                <w:rStyle w:val="Sautdindex"/>
              </w:rPr>
              <w:t>5.3 Sauvegarde et chargement de configuration</w:t>
              <w:tab/>
              <w:t>20</w:t>
            </w:r>
          </w:hyperlink>
        </w:p>
        <w:p>
          <w:pPr>
            <w:pStyle w:val="TOC2"/>
            <w:tabs>
              <w:tab w:val="clear" w:pos="9689"/>
              <w:tab w:val="right" w:pos="9971" w:leader="dot"/>
            </w:tabs>
            <w:rPr/>
          </w:pPr>
          <w:hyperlink w:anchor="__RefHeading___Toc3937_1193836322">
            <w:r>
              <w:rPr>
                <w:webHidden/>
                <w:rStyle w:val="Sautdindex"/>
              </w:rPr>
              <w:t>5.4 Mode Simple / Expert</w:t>
              <w:tab/>
              <w:t>20</w:t>
            </w:r>
          </w:hyperlink>
        </w:p>
        <w:p>
          <w:pPr>
            <w:pStyle w:val="TOC1"/>
            <w:tabs>
              <w:tab w:val="clear" w:pos="9972"/>
              <w:tab w:val="right" w:pos="9971" w:leader="dot"/>
            </w:tabs>
            <w:rPr/>
          </w:pPr>
          <w:hyperlink w:anchor="__RefHeading___Toc3939_1193836322">
            <w:r>
              <w:rPr>
                <w:webHidden/>
                <w:rStyle w:val="Sautdindex"/>
              </w:rPr>
              <w:t xml:space="preserve">🎯 </w:t>
            </w:r>
            <w:r>
              <w:rPr>
                <w:rStyle w:val="Sautdindex"/>
              </w:rPr>
              <w:t>6. Détection automatique par IA</w:t>
              <w:tab/>
              <w:t>21</w:t>
            </w:r>
          </w:hyperlink>
        </w:p>
        <w:p>
          <w:pPr>
            <w:pStyle w:val="TOC2"/>
            <w:tabs>
              <w:tab w:val="clear" w:pos="9689"/>
              <w:tab w:val="right" w:pos="9971" w:leader="dot"/>
            </w:tabs>
            <w:rPr/>
          </w:pPr>
          <w:hyperlink w:anchor="__RefHeading___Toc3941_1193836322">
            <w:r>
              <w:rPr>
                <w:webHidden/>
                <w:rStyle w:val="Sautdindex"/>
              </w:rPr>
              <w:t>6.1 Activation</w:t>
              <w:tab/>
              <w:t>21</w:t>
            </w:r>
          </w:hyperlink>
        </w:p>
        <w:p>
          <w:pPr>
            <w:pStyle w:val="TOC2"/>
            <w:tabs>
              <w:tab w:val="clear" w:pos="9689"/>
              <w:tab w:val="right" w:pos="9971" w:leader="dot"/>
            </w:tabs>
            <w:rPr/>
          </w:pPr>
          <w:hyperlink w:anchor="__RefHeading___Toc3943_1193836322">
            <w:r>
              <w:rPr>
                <w:webHidden/>
                <w:rStyle w:val="Sautdindex"/>
              </w:rPr>
              <w:t>6.2 Configuration des runs</w:t>
              <w:tab/>
              <w:t>21</w:t>
            </w:r>
          </w:hyperlink>
        </w:p>
        <w:p>
          <w:pPr>
            <w:pStyle w:val="TOC2"/>
            <w:tabs>
              <w:tab w:val="clear" w:pos="9689"/>
              <w:tab w:val="right" w:pos="9971" w:leader="dot"/>
            </w:tabs>
            <w:rPr/>
          </w:pPr>
          <w:hyperlink w:anchor="__RefHeading___Toc3945_1193836322">
            <w:r>
              <w:rPr>
                <w:webHidden/>
                <w:rStyle w:val="Sautdindex"/>
              </w:rPr>
              <w:t>6.3 Sélection des classes</w:t>
              <w:tab/>
              <w:t>22</w:t>
            </w:r>
          </w:hyperlink>
        </w:p>
        <w:p>
          <w:pPr>
            <w:pStyle w:val="TOC2"/>
            <w:tabs>
              <w:tab w:val="clear" w:pos="9689"/>
              <w:tab w:val="right" w:pos="9971" w:leader="dot"/>
            </w:tabs>
            <w:rPr/>
          </w:pPr>
          <w:hyperlink w:anchor="__RefHeading___Toc3947_1193836322">
            <w:r>
              <w:rPr>
                <w:webHidden/>
                <w:rStyle w:val="Sautdindex"/>
              </w:rPr>
              <w:t>6.4 Paramètres principaux</w:t>
              <w:tab/>
              <w:t>22</w:t>
            </w:r>
          </w:hyperlink>
        </w:p>
        <w:p>
          <w:pPr>
            <w:pStyle w:val="TOC2"/>
            <w:tabs>
              <w:tab w:val="clear" w:pos="9689"/>
              <w:tab w:val="right" w:pos="9971" w:leader="dot"/>
            </w:tabs>
            <w:rPr/>
          </w:pPr>
          <w:hyperlink w:anchor="__RefHeading___Toc3949_1193836322">
            <w:r>
              <w:rPr>
                <w:webHidden/>
                <w:rStyle w:val="Sautdindex"/>
              </w:rPr>
              <w:t>6.5 Résultats de la CV</w:t>
              <w:tab/>
              <w:t>23</w:t>
            </w:r>
          </w:hyperlink>
        </w:p>
        <w:p>
          <w:pPr>
            <w:pStyle w:val="TOC2"/>
            <w:tabs>
              <w:tab w:val="clear" w:pos="9689"/>
              <w:tab w:val="right" w:pos="9971" w:leader="dot"/>
            </w:tabs>
            <w:rPr/>
          </w:pPr>
          <w:hyperlink w:anchor="__RefHeading___Toc3951_1193836322">
            <w:r>
              <w:rPr>
                <w:webHidden/>
                <w:rStyle w:val="Sautdindex"/>
              </w:rPr>
              <w:t>6.6 Modèles fournis par défaut</w:t>
              <w:tab/>
              <w:t>23</w:t>
            </w:r>
          </w:hyperlink>
        </w:p>
        <w:p>
          <w:pPr>
            <w:pStyle w:val="TOC1"/>
            <w:tabs>
              <w:tab w:val="clear" w:pos="9972"/>
              <w:tab w:val="right" w:pos="9971" w:leader="dot"/>
            </w:tabs>
            <w:rPr/>
          </w:pPr>
          <w:hyperlink w:anchor="__RefHeading___Toc3953_1193836322">
            <w:r>
              <w:rPr>
                <w:webHidden/>
                <w:rStyle w:val="Sautdindex"/>
              </w:rPr>
              <w:t xml:space="preserve">📦 </w:t>
            </w:r>
            <w:r>
              <w:rPr>
                <w:rStyle w:val="Sautdindex"/>
              </w:rPr>
              <w:t>7. Comprendre les sorties</w:t>
              <w:tab/>
              <w:t>24</w:t>
            </w:r>
          </w:hyperlink>
        </w:p>
        <w:p>
          <w:pPr>
            <w:pStyle w:val="TOC2"/>
            <w:tabs>
              <w:tab w:val="clear" w:pos="9689"/>
              <w:tab w:val="right" w:pos="9971" w:leader="dot"/>
            </w:tabs>
            <w:rPr/>
          </w:pPr>
          <w:hyperlink w:anchor="__RefHeading___Toc3955_1193836322">
            <w:r>
              <w:rPr>
                <w:webHidden/>
                <w:rStyle w:val="Sautdindex"/>
              </w:rPr>
              <w:t>7.1 Arborescence du dossier de sortie</w:t>
              <w:tab/>
              <w:t>24</w:t>
            </w:r>
          </w:hyperlink>
        </w:p>
        <w:p>
          <w:pPr>
            <w:pStyle w:val="TOC3"/>
            <w:tabs>
              <w:tab w:val="clear" w:pos="9405"/>
              <w:tab w:val="right" w:pos="9971" w:leader="dot"/>
            </w:tabs>
            <w:rPr/>
          </w:pPr>
          <w:hyperlink w:anchor="__RefHeading___Toc3957_1193836322">
            <w:r>
              <w:rPr>
                <w:webHidden/>
                <w:rStyle w:val="Sautdindex"/>
              </w:rPr>
              <w:t>Convention de nommage des fichiers raster</w:t>
              <w:tab/>
              <w:t>25</w:t>
            </w:r>
          </w:hyperlink>
        </w:p>
        <w:p>
          <w:pPr>
            <w:pStyle w:val="TOC2"/>
            <w:tabs>
              <w:tab w:val="clear" w:pos="9689"/>
              <w:tab w:val="right" w:pos="9971" w:leader="dot"/>
            </w:tabs>
            <w:rPr/>
          </w:pPr>
          <w:hyperlink w:anchor="__RefHeading___Toc3959_1193836322">
            <w:r>
              <w:rPr>
                <w:webHidden/>
                <w:rStyle w:val="Sautdindex"/>
              </w:rPr>
              <w:t>7.2 Le projet QGIS consolidé</w:t>
              <w:tab/>
              <w:t>25</w:t>
            </w:r>
          </w:hyperlink>
        </w:p>
        <w:p>
          <w:pPr>
            <w:pStyle w:val="TOC2"/>
            <w:tabs>
              <w:tab w:val="clear" w:pos="9689"/>
              <w:tab w:val="right" w:pos="9971" w:leader="dot"/>
            </w:tabs>
            <w:rPr/>
          </w:pPr>
          <w:hyperlink w:anchor="__RefHeading___Toc3961_1193836322">
            <w:r>
              <w:rPr>
                <w:webHidden/>
                <w:rStyle w:val="Sautdindex"/>
              </w:rPr>
              <w:t>7.3 Les shapefiles de détection</w:t>
              <w:tab/>
              <w:t>25</w:t>
            </w:r>
          </w:hyperlink>
        </w:p>
        <w:p>
          <w:pPr>
            <w:pStyle w:val="TOC2"/>
            <w:tabs>
              <w:tab w:val="clear" w:pos="9689"/>
              <w:tab w:val="right" w:pos="9971" w:leader="dot"/>
            </w:tabs>
            <w:rPr/>
          </w:pPr>
          <w:hyperlink w:anchor="__RefHeading___Toc3963_1193836322">
            <w:r>
              <w:rPr>
                <w:webHidden/>
                <w:rStyle w:val="Sautdindex"/>
              </w:rPr>
              <w:t>7.4 Le fichier metadata.json</w:t>
              <w:tab/>
              <w:t>26</w:t>
            </w:r>
          </w:hyperlink>
        </w:p>
        <w:p>
          <w:pPr>
            <w:pStyle w:val="TOC2"/>
            <w:tabs>
              <w:tab w:val="clear" w:pos="9689"/>
              <w:tab w:val="right" w:pos="9971" w:leader="dot"/>
            </w:tabs>
            <w:rPr/>
          </w:pPr>
          <w:hyperlink w:anchor="__RefHeading___Toc3965_1193836322">
            <w:r>
              <w:rPr>
                <w:webHidden/>
                <w:rStyle w:val="Sautdindex"/>
              </w:rPr>
              <w:t>7.5 Les logs</w:t>
              <w:tab/>
              <w:t>26</w:t>
            </w:r>
          </w:hyperlink>
        </w:p>
        <w:p>
          <w:pPr>
            <w:pStyle w:val="TOC1"/>
            <w:tabs>
              <w:tab w:val="clear" w:pos="9972"/>
              <w:tab w:val="right" w:pos="9971" w:leader="dot"/>
            </w:tabs>
            <w:rPr/>
          </w:pPr>
          <w:hyperlink w:anchor="__RefHeading___Toc3967_1193836322">
            <w:r>
              <w:rPr>
                <w:webHidden/>
                <w:rStyle w:val="Sautdindex"/>
              </w:rPr>
              <w:t xml:space="preserve">⚡ </w:t>
            </w:r>
            <w:r>
              <w:rPr>
                <w:rStyle w:val="Sautdindex"/>
              </w:rPr>
              <w:t>8. Performance &amp; matériel</w:t>
              <w:tab/>
              <w:t>27</w:t>
            </w:r>
          </w:hyperlink>
        </w:p>
        <w:p>
          <w:pPr>
            <w:pStyle w:val="TOC2"/>
            <w:tabs>
              <w:tab w:val="clear" w:pos="9689"/>
              <w:tab w:val="right" w:pos="9971" w:leader="dot"/>
            </w:tabs>
            <w:rPr/>
          </w:pPr>
          <w:hyperlink w:anchor="__RefHeading___Toc3969_1193836322">
            <w:r>
              <w:rPr>
                <w:webHidden/>
                <w:rStyle w:val="Sautdindex"/>
              </w:rPr>
              <w:t>8.1 Configuration recommandée</w:t>
              <w:tab/>
              <w:t>27</w:t>
            </w:r>
          </w:hyperlink>
        </w:p>
        <w:p>
          <w:pPr>
            <w:pStyle w:val="TOC2"/>
            <w:tabs>
              <w:tab w:val="clear" w:pos="9689"/>
              <w:tab w:val="right" w:pos="9971" w:leader="dot"/>
            </w:tabs>
            <w:rPr/>
          </w:pPr>
          <w:hyperlink w:anchor="__RefHeading___Toc3971_1193836322">
            <w:r>
              <w:rPr>
                <w:webHidden/>
                <w:rStyle w:val="Sautdindex"/>
              </w:rPr>
              <w:t>8.2 Temps de traitement indicatifs</w:t>
              <w:tab/>
              <w:t>27</w:t>
            </w:r>
          </w:hyperlink>
        </w:p>
        <w:p>
          <w:pPr>
            <w:pStyle w:val="TOC2"/>
            <w:tabs>
              <w:tab w:val="clear" w:pos="9689"/>
              <w:tab w:val="right" w:pos="9971" w:leader="dot"/>
            </w:tabs>
            <w:rPr/>
          </w:pPr>
          <w:hyperlink w:anchor="__RefHeading___Toc3973_1193836322">
            <w:r>
              <w:rPr>
                <w:webHidden/>
                <w:rStyle w:val="Sautdindex"/>
              </w:rPr>
              <w:t>8.3 Leviers d'optimisation</w:t>
              <w:tab/>
              <w:t>28</w:t>
            </w:r>
          </w:hyperlink>
        </w:p>
        <w:p>
          <w:pPr>
            <w:pStyle w:val="TOC2"/>
            <w:tabs>
              <w:tab w:val="clear" w:pos="9689"/>
              <w:tab w:val="right" w:pos="9971" w:leader="dot"/>
            </w:tabs>
            <w:rPr/>
          </w:pPr>
          <w:hyperlink w:anchor="__RefHeading___Toc3975_1193836322">
            <w:r>
              <w:rPr>
                <w:webHidden/>
                <w:rStyle w:val="Sautdindex"/>
              </w:rPr>
              <w:t>8.4 Pour les grandes zones</w:t>
              <w:tab/>
              <w:t>28</w:t>
            </w:r>
          </w:hyperlink>
        </w:p>
        <w:p>
          <w:pPr>
            <w:pStyle w:val="TOC1"/>
            <w:tabs>
              <w:tab w:val="clear" w:pos="9972"/>
              <w:tab w:val="right" w:pos="9971" w:leader="dot"/>
            </w:tabs>
            <w:rPr/>
          </w:pPr>
          <w:hyperlink w:anchor="__RefHeading___Toc3977_1193836322">
            <w:r>
              <w:rPr>
                <w:webHidden/>
                <w:rStyle w:val="Sautdindex"/>
              </w:rPr>
              <w:t xml:space="preserve">🩹 </w:t>
            </w:r>
            <w:r>
              <w:rPr>
                <w:rStyle w:val="Sautdindex"/>
              </w:rPr>
              <w:t>9. Dépannage</w:t>
              <w:tab/>
              <w:t>30</w:t>
            </w:r>
          </w:hyperlink>
        </w:p>
        <w:p>
          <w:pPr>
            <w:pStyle w:val="TOC1"/>
            <w:tabs>
              <w:tab w:val="clear" w:pos="9972"/>
              <w:tab w:val="right" w:pos="9971" w:leader="dot"/>
            </w:tabs>
            <w:rPr/>
          </w:pPr>
          <w:hyperlink w:anchor="__RefHeading___Toc3979_1193836322">
            <w:r>
              <w:rPr>
                <w:webHidden/>
                <w:rStyle w:val="Sautdindex"/>
              </w:rPr>
              <w:t>Annexes techniques</w:t>
              <w:tab/>
              <w:t>32</w:t>
            </w:r>
          </w:hyperlink>
        </w:p>
        <w:p>
          <w:pPr>
            <w:pStyle w:val="TOC1"/>
            <w:tabs>
              <w:tab w:val="clear" w:pos="9972"/>
              <w:tab w:val="right" w:pos="9971" w:leader="dot"/>
            </w:tabs>
            <w:rPr/>
          </w:pPr>
          <w:hyperlink w:anchor="__RefHeading___Toc3981_1193836322">
            <w:r>
              <w:rPr>
                <w:webHidden/>
                <w:rStyle w:val="Sautdindex"/>
              </w:rPr>
              <w:t>Annexe A — Paramètres des indices de visualisation (RVT)</w:t>
              <w:tab/>
              <w:t>32</w:t>
            </w:r>
          </w:hyperlink>
        </w:p>
        <w:p>
          <w:pPr>
            <w:pStyle w:val="TOC2"/>
            <w:tabs>
              <w:tab w:val="clear" w:pos="9689"/>
              <w:tab w:val="right" w:pos="9971" w:leader="dot"/>
            </w:tabs>
            <w:rPr/>
          </w:pPr>
          <w:hyperlink w:anchor="__RefHeading___Toc3983_1193836322">
            <w:r>
              <w:rPr>
                <w:webHidden/>
                <w:rStyle w:val="Sautdindex"/>
              </w:rPr>
              <w:t>A.1 Hillshade multi-directionnel (M-HS)</w:t>
              <w:tab/>
              <w:t>32</w:t>
            </w:r>
          </w:hyperlink>
        </w:p>
        <w:p>
          <w:pPr>
            <w:pStyle w:val="TOC2"/>
            <w:tabs>
              <w:tab w:val="clear" w:pos="9689"/>
              <w:tab w:val="right" w:pos="9971" w:leader="dot"/>
            </w:tabs>
            <w:rPr/>
          </w:pPr>
          <w:hyperlink w:anchor="__RefHeading___Toc3985_1193836322">
            <w:r>
              <w:rPr>
                <w:webHidden/>
                <w:rStyle w:val="Sautdindex"/>
              </w:rPr>
              <w:t>A.2 Sky View Factor (SVF)</w:t>
              <w:tab/>
              <w:t>33</w:t>
            </w:r>
          </w:hyperlink>
        </w:p>
        <w:p>
          <w:pPr>
            <w:pStyle w:val="TOC2"/>
            <w:tabs>
              <w:tab w:val="clear" w:pos="9689"/>
              <w:tab w:val="right" w:pos="9971" w:leader="dot"/>
            </w:tabs>
            <w:rPr/>
          </w:pPr>
          <w:hyperlink w:anchor="__RefHeading___Toc3987_1193836322">
            <w:r>
              <w:rPr>
                <w:webHidden/>
                <w:rStyle w:val="Sautdindex"/>
              </w:rPr>
              <w:t>A.3 Local Dominance (LD)</w:t>
              <w:tab/>
              <w:t>33</w:t>
            </w:r>
          </w:hyperlink>
        </w:p>
        <w:p>
          <w:pPr>
            <w:pStyle w:val="TOC2"/>
            <w:tabs>
              <w:tab w:val="clear" w:pos="9689"/>
              <w:tab w:val="right" w:pos="9971" w:leader="dot"/>
            </w:tabs>
            <w:rPr/>
          </w:pPr>
          <w:hyperlink w:anchor="__RefHeading___Toc3989_1193836322">
            <w:r>
              <w:rPr>
                <w:webHidden/>
                <w:rStyle w:val="Sautdindex"/>
              </w:rPr>
              <w:t>A.4 Pente (SLO / Slope)</w:t>
              <w:tab/>
              <w:t>34</w:t>
            </w:r>
          </w:hyperlink>
        </w:p>
        <w:p>
          <w:pPr>
            <w:pStyle w:val="TOC2"/>
            <w:tabs>
              <w:tab w:val="clear" w:pos="9689"/>
              <w:tab w:val="right" w:pos="9971" w:leader="dot"/>
            </w:tabs>
            <w:rPr/>
          </w:pPr>
          <w:hyperlink w:anchor="__RefHeading___Toc3991_1193836322">
            <w:r>
              <w:rPr>
                <w:webHidden/>
                <w:rStyle w:val="Sautdindex"/>
              </w:rPr>
              <w:t>A.5 Simple Local Relief Model (SLRM)</w:t>
              <w:tab/>
              <w:t>34</w:t>
            </w:r>
          </w:hyperlink>
        </w:p>
        <w:p>
          <w:pPr>
            <w:pStyle w:val="TOC2"/>
            <w:tabs>
              <w:tab w:val="clear" w:pos="9689"/>
              <w:tab w:val="right" w:pos="9971" w:leader="dot"/>
            </w:tabs>
            <w:rPr/>
          </w:pPr>
          <w:hyperlink w:anchor="__RefHeading___Toc3993_1193836322">
            <w:r>
              <w:rPr>
                <w:webHidden/>
                <w:rStyle w:val="Sautdindex"/>
              </w:rPr>
              <w:t>A.6 Visualisation Archéologique Totale (VAT)</w:t>
              <w:tab/>
              <w:t>34</w:t>
            </w:r>
          </w:hyperlink>
        </w:p>
        <w:p>
          <w:pPr>
            <w:pStyle w:val="TOC2"/>
            <w:tabs>
              <w:tab w:val="clear" w:pos="9689"/>
              <w:tab w:val="right" w:pos="9971" w:leader="dot"/>
            </w:tabs>
            <w:rPr/>
          </w:pPr>
          <w:hyperlink w:anchor="__RefHeading___Toc3995_1193836322">
            <w:r>
              <w:rPr>
                <w:webHidden/>
                <w:rStyle w:val="Sautdindex"/>
              </w:rPr>
              <w:t>A.7 Résolution et filtres MNT</w:t>
              <w:tab/>
              <w:t>35</w:t>
            </w:r>
          </w:hyperlink>
        </w:p>
        <w:p>
          <w:pPr>
            <w:pStyle w:val="TOC1"/>
            <w:tabs>
              <w:tab w:val="clear" w:pos="9972"/>
              <w:tab w:val="right" w:pos="9971" w:leader="dot"/>
            </w:tabs>
            <w:rPr/>
          </w:pPr>
          <w:hyperlink w:anchor="__RefHeading___Toc3997_1193836322">
            <w:r>
              <w:rPr>
                <w:webHidden/>
                <w:rStyle w:val="Sautdindex"/>
              </w:rPr>
              <w:t>Annexe B — Paramètres avancés Computer Vision</w:t>
              <w:tab/>
              <w:t>36</w:t>
            </w:r>
          </w:hyperlink>
        </w:p>
        <w:p>
          <w:pPr>
            <w:pStyle w:val="TOC2"/>
            <w:tabs>
              <w:tab w:val="clear" w:pos="9689"/>
              <w:tab w:val="right" w:pos="9971" w:leader="dot"/>
            </w:tabs>
            <w:rPr/>
          </w:pPr>
          <w:hyperlink w:anchor="__RefHeading___Toc3999_1193836322">
            <w:r>
              <w:rPr>
                <w:webHidden/>
                <w:rStyle w:val="Sautdindex"/>
              </w:rPr>
              <w:t>B.1 SAHI (Slicing Aided Hyper Inference)</w:t>
              <w:tab/>
              <w:t>36</w:t>
            </w:r>
          </w:hyperlink>
        </w:p>
        <w:p>
          <w:pPr>
            <w:pStyle w:val="TOC2"/>
            <w:tabs>
              <w:tab w:val="clear" w:pos="9689"/>
              <w:tab w:val="right" w:pos="9971" w:leader="dot"/>
            </w:tabs>
            <w:rPr/>
          </w:pPr>
          <w:hyperlink w:anchor="__RefHeading___Toc4001_1193836322">
            <w:r>
              <w:rPr>
                <w:webHidden/>
                <w:rStyle w:val="Sautdindex"/>
              </w:rPr>
              <w:t>B.2 Autres paramètres CV (mode Expert)</w:t>
              <w:tab/>
              <w:t>36</w:t>
            </w:r>
          </w:hyperlink>
        </w:p>
        <w:p>
          <w:pPr>
            <w:pStyle w:val="TOC2"/>
            <w:tabs>
              <w:tab w:val="clear" w:pos="9689"/>
              <w:tab w:val="right" w:pos="9971" w:leader="dot"/>
            </w:tabs>
            <w:rPr/>
          </w:pPr>
          <w:hyperlink w:anchor="__RefHeading___Toc4003_1193836322">
            <w:r>
              <w:rPr>
                <w:webHidden/>
                <w:rStyle w:val="Sautdindex"/>
              </w:rPr>
              <w:t>B.3 Post-traitement des détections</w:t>
              <w:tab/>
              <w:t>37</w:t>
            </w:r>
          </w:hyperlink>
        </w:p>
        <w:p>
          <w:pPr>
            <w:pStyle w:val="TOC1"/>
            <w:tabs>
              <w:tab w:val="clear" w:pos="9972"/>
              <w:tab w:val="right" w:pos="9971" w:leader="dot"/>
            </w:tabs>
            <w:rPr/>
          </w:pPr>
          <w:hyperlink w:anchor="__RefHeading___Toc4005_1193836322">
            <w:r>
              <w:rPr>
                <w:webHidden/>
                <w:rStyle w:val="Sautdindex"/>
              </w:rPr>
              <w:t>Annexe C — Clustering spatial (DBSCAN)</w:t>
              <w:tab/>
              <w:t>38</w:t>
            </w:r>
          </w:hyperlink>
        </w:p>
        <w:p>
          <w:pPr>
            <w:pStyle w:val="TOC2"/>
            <w:tabs>
              <w:tab w:val="clear" w:pos="9689"/>
              <w:tab w:val="right" w:pos="9971" w:leader="dot"/>
            </w:tabs>
            <w:rPr/>
          </w:pPr>
          <w:hyperlink w:anchor="__RefHeading___Toc4007_1193836322">
            <w:r>
              <w:rPr>
                <w:webHidden/>
                <w:rStyle w:val="Sautdindex"/>
              </w:rPr>
              <w:t>C.1 Principe</w:t>
              <w:tab/>
              <w:t>38</w:t>
            </w:r>
          </w:hyperlink>
        </w:p>
        <w:p>
          <w:pPr>
            <w:pStyle w:val="TOC2"/>
            <w:tabs>
              <w:tab w:val="clear" w:pos="9689"/>
              <w:tab w:val="right" w:pos="9971" w:leader="dot"/>
            </w:tabs>
            <w:rPr/>
          </w:pPr>
          <w:hyperlink w:anchor="__RefHeading___Toc4009_1193836322">
            <w:r>
              <w:rPr>
                <w:webHidden/>
                <w:rStyle w:val="Sautdindex"/>
              </w:rPr>
              <w:t>C.2 Paramètres de configuration (args.yaml)</w:t>
              <w:tab/>
              <w:t>38</w:t>
            </w:r>
          </w:hyperlink>
        </w:p>
        <w:p>
          <w:pPr>
            <w:pStyle w:val="TOC2"/>
            <w:tabs>
              <w:tab w:val="clear" w:pos="9689"/>
              <w:tab w:val="right" w:pos="9971" w:leader="dot"/>
            </w:tabs>
            <w:rPr/>
          </w:pPr>
          <w:hyperlink w:anchor="__RefHeading___Toc4011_1193836322">
            <w:r>
              <w:rPr>
                <w:webHidden/>
                <w:rStyle w:val="Sautdindex"/>
              </w:rPr>
              <w:t>C.3 Description des paramètres</w:t>
              <w:tab/>
              <w:t>38</w:t>
            </w:r>
          </w:hyperlink>
        </w:p>
        <w:p>
          <w:pPr>
            <w:pStyle w:val="TOC2"/>
            <w:tabs>
              <w:tab w:val="clear" w:pos="9689"/>
              <w:tab w:val="right" w:pos="9971" w:leader="dot"/>
            </w:tabs>
            <w:rPr/>
          </w:pPr>
          <w:hyperlink w:anchor="__RefHeading___Toc4013_1193836322">
            <w:r>
              <w:rPr>
                <w:webHidden/>
                <w:rStyle w:val="Sautdindex"/>
              </w:rPr>
              <w:t>C.4 Pondération par confiance (confidence_weight)</w:t>
              <w:tab/>
              <w:t>39</w:t>
            </w:r>
          </w:hyperlink>
        </w:p>
        <w:p>
          <w:pPr>
            <w:pStyle w:val="TOC2"/>
            <w:tabs>
              <w:tab w:val="clear" w:pos="9689"/>
              <w:tab w:val="right" w:pos="9971" w:leader="dot"/>
            </w:tabs>
            <w:rPr/>
          </w:pPr>
          <w:hyperlink w:anchor="__RefHeading___Toc4015_1193836322">
            <w:r>
              <w:rPr>
                <w:webHidden/>
                <w:rStyle w:val="Sautdindex"/>
              </w:rPr>
              <w:t>C.5 Attributs des shapefiles de zones</w:t>
              <w:tab/>
              <w:t>39</w:t>
            </w:r>
          </w:hyperlink>
        </w:p>
        <w:p>
          <w:pPr>
            <w:pStyle w:val="TOC1"/>
            <w:tabs>
              <w:tab w:val="clear" w:pos="9972"/>
              <w:tab w:val="right" w:pos="9971" w:leader="dot"/>
            </w:tabs>
            <w:rPr/>
          </w:pPr>
          <w:hyperlink w:anchor="__RefHeading___Toc4017_1193836322">
            <w:r>
              <w:rPr>
                <w:webHidden/>
                <w:rStyle w:val="Sautdindex"/>
              </w:rPr>
              <w:t xml:space="preserve">📚 </w:t>
            </w:r>
            <w:r>
              <w:rPr>
                <w:rStyle w:val="Sautdindex"/>
              </w:rPr>
              <w:t>Glossaire</w:t>
              <w:tab/>
              <w:t>41</w:t>
            </w:r>
          </w:hyperlink>
          <w:r>
            <w:rPr>
              <w:rStyle w:val="Sautdindex"/>
            </w:rPr>
            <w:fldChar w:fldCharType="end"/>
          </w:r>
        </w:p>
      </w:sdtContent>
    </w:sdt>
    <w:p>
      <w:pPr>
        <w:pStyle w:val="Normal"/>
        <w:widowControl/>
        <w:bidi w:val="0"/>
        <w:spacing w:lineRule="auto" w:line="324" w:before="0" w:after="200"/>
        <w:jc w:val="left"/>
        <w:rPr>
          <w:rFonts w:ascii="Segoe UI" w:hAnsi="Segoe UI"/>
          <w:color w:val="3A3A3A"/>
          <w:sz w:val="22"/>
        </w:rPr>
      </w:pPr>
      <w:r>
        <w:rPr>
          <w:color w:val="3A3A3A"/>
          <w:sz w:val="22"/>
        </w:rPr>
      </w:r>
      <w:r>
        <w:br w:type="page"/>
      </w:r>
    </w:p>
    <w:p>
      <w:pPr>
        <w:pStyle w:val="Heading1"/>
        <w:pBdr>
          <w:left w:val="single" w:sz="36" w:space="10" w:color="000091"/>
        </w:pBdr>
        <w:spacing w:before="0" w:after="120"/>
        <w:ind w:left="170"/>
        <w:rPr/>
      </w:pPr>
      <w:bookmarkStart w:id="1" w:name="__RefHeading___Toc3877_1193836322"/>
      <w:bookmarkStart w:id="2" w:name="section_introduction"/>
      <w:bookmarkEnd w:id="1"/>
      <w:r>
        <w:rPr>
          <w:rFonts w:ascii="Segoe UI" w:hAnsi="Segoe UI"/>
          <w:b/>
          <w:color w:val="000091"/>
          <w:sz w:val="44"/>
        </w:rPr>
        <w:t xml:space="preserve">💡  </w:t>
      </w:r>
      <w:r>
        <w:rPr>
          <w:rFonts w:ascii="Segoe UI" w:hAnsi="Segoe UI"/>
          <w:b/>
          <w:color w:val="000091"/>
          <w:sz w:val="44"/>
        </w:rPr>
        <w:t>1. Introduction</w:t>
      </w:r>
      <w:bookmarkEnd w:id="2"/>
    </w:p>
    <w:p>
      <w:pPr>
        <w:pStyle w:val="Normal"/>
        <w:pBdr>
          <w:bottom w:val="single" w:sz="12" w:space="1" w:color="6A6AF4"/>
        </w:pBdr>
        <w:spacing w:before="0" w:after="120"/>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6A6AF4"/>
              <w:left w:val="single" w:sz="4" w:space="0" w:color="6A6AF4"/>
              <w:bottom w:val="single" w:sz="4" w:space="0" w:color="6A6AF4"/>
              <w:right w:val="single" w:sz="4" w:space="0" w:color="6A6AF4"/>
            </w:tcBorders>
            <w:shd w:fill="F2F2FE" w:val="clear"/>
          </w:tcPr>
          <w:p>
            <w:pPr>
              <w:pStyle w:val="Normal"/>
              <w:spacing w:before="40" w:after="80"/>
              <w:rPr/>
            </w:pPr>
            <w:r>
              <w:rPr>
                <w:b/>
                <w:color w:val="000091"/>
                <w:sz w:val="20"/>
              </w:rPr>
              <w:t xml:space="preserve">👁️  </w:t>
            </w:r>
            <w:r>
              <w:rPr>
                <w:b/>
                <w:color w:val="000091"/>
                <w:sz w:val="20"/>
              </w:rPr>
              <w:t>EN UN COUP D'ŒIL</w:t>
            </w:r>
            <w:r>
              <w:rPr>
                <w:i/>
                <w:color w:val="666666"/>
                <w:sz w:val="18"/>
              </w:rPr>
              <w:t xml:space="preserve">   •   ⏱ 2 min de lecture</w:t>
            </w:r>
          </w:p>
          <w:p>
            <w:pPr>
              <w:pStyle w:val="Normal"/>
              <w:spacing w:before="20" w:after="20"/>
              <w:ind w:left="170"/>
              <w:rPr/>
            </w:pPr>
            <w:r>
              <w:rPr>
                <w:b/>
                <w:color w:val="6A6AF4"/>
                <w:sz w:val="21"/>
              </w:rPr>
              <w:t xml:space="preserve">•  </w:t>
            </w:r>
            <w:r>
              <w:rPr>
                <w:color w:val="3A3A3A"/>
                <w:sz w:val="21"/>
              </w:rPr>
              <w:t>Objectif et cadre d'emploi du plugin</w:t>
            </w:r>
          </w:p>
          <w:p>
            <w:pPr>
              <w:pStyle w:val="Normal"/>
              <w:spacing w:before="20" w:after="20"/>
              <w:ind w:left="170"/>
              <w:rPr/>
            </w:pPr>
            <w:r>
              <w:rPr>
                <w:b/>
                <w:color w:val="6A6AF4"/>
                <w:sz w:val="21"/>
              </w:rPr>
              <w:t xml:space="preserve">•  </w:t>
            </w:r>
            <w:r>
              <w:rPr>
                <w:color w:val="3A3A3A"/>
                <w:sz w:val="21"/>
              </w:rPr>
              <w:t>Parcours de lecture adapté à votre besoin</w:t>
            </w:r>
          </w:p>
          <w:p>
            <w:pPr>
              <w:pStyle w:val="Normal"/>
              <w:spacing w:before="20" w:after="20"/>
              <w:ind w:left="170"/>
              <w:rPr/>
            </w:pPr>
            <w:r>
              <w:rPr>
                <w:b/>
                <w:color w:val="6A6AF4"/>
                <w:sz w:val="21"/>
              </w:rPr>
              <w:t xml:space="preserve">•  </w:t>
            </w:r>
            <w:r>
              <w:rPr>
                <w:color w:val="3A3A3A"/>
                <w:sz w:val="21"/>
              </w:rPr>
              <w:t>Schéma du pipeline de bout en bout</w:t>
            </w:r>
          </w:p>
        </w:tc>
      </w:tr>
    </w:tbl>
    <w:p>
      <w:pPr>
        <w:pStyle w:val="Normal"/>
        <w:rPr/>
      </w:pPr>
      <w:r>
        <w:rPr/>
      </w:r>
    </w:p>
    <w:p>
      <w:pPr>
        <w:pStyle w:val="Normal"/>
        <w:spacing w:lineRule="exact" w:line="320" w:before="0" w:after="160"/>
        <w:rPr/>
      </w:pPr>
      <w:r>
        <w:rPr>
          <w:color w:val="3A3A3A"/>
          <w:sz w:val="22"/>
        </w:rPr>
        <w:t>Archéolog'IA est un plugin QGIS qui automatise le traitement de données LiDAR aéroporté (nuages de points LAZ) et la détection d'entités archéologiques par intelligence artificielle.</w:t>
      </w:r>
    </w:p>
    <w:p>
      <w:pPr>
        <w:pStyle w:val="Normal"/>
        <w:spacing w:lineRule="exact" w:line="320" w:before="0" w:after="160"/>
        <w:rPr/>
      </w:pPr>
      <w:r>
        <w:rPr>
          <w:color w:val="3A3A3A"/>
          <w:sz w:val="22"/>
        </w:rPr>
        <w:t>À partir d'une zone géographique et de données LiDAR, le plugin effectue automatiquement :</w:t>
      </w:r>
    </w:p>
    <w:p>
      <w:pPr>
        <w:pStyle w:val="Normal"/>
        <w:spacing w:before="0" w:after="80"/>
        <w:ind w:hanging="283" w:left="850"/>
        <w:rPr/>
      </w:pPr>
      <w:r>
        <w:rPr>
          <w:color w:val="3A3A3A"/>
          <w:sz w:val="22"/>
        </w:rPr>
        <w:t xml:space="preserve">•  </w:t>
      </w:r>
      <w:r>
        <w:rPr>
          <w:color w:val="3A3A3A"/>
          <w:sz w:val="22"/>
        </w:rPr>
        <w:t>Le téléchargement ou l'import des données LiDAR (nuages de points)</w:t>
      </w:r>
    </w:p>
    <w:p>
      <w:pPr>
        <w:pStyle w:val="Normal"/>
        <w:spacing w:before="0" w:after="80"/>
        <w:ind w:hanging="283" w:left="850"/>
        <w:rPr/>
      </w:pPr>
      <w:r>
        <w:rPr>
          <w:color w:val="3A3A3A"/>
          <w:sz w:val="22"/>
        </w:rPr>
        <w:t xml:space="preserve">•  </w:t>
      </w:r>
      <w:r>
        <w:rPr>
          <w:color w:val="3A3A3A"/>
          <w:sz w:val="22"/>
        </w:rPr>
        <w:t>Le calcul du Modèle Numérique de Terrain (MNT)</w:t>
      </w:r>
    </w:p>
    <w:p>
      <w:pPr>
        <w:pStyle w:val="Normal"/>
        <w:spacing w:before="0" w:after="80"/>
        <w:ind w:hanging="283" w:left="850"/>
        <w:rPr/>
      </w:pPr>
      <w:r>
        <w:rPr>
          <w:color w:val="3A3A3A"/>
          <w:sz w:val="22"/>
        </w:rPr>
        <w:t xml:space="preserve">•  </w:t>
      </w:r>
      <w:r>
        <w:rPr>
          <w:color w:val="3A3A3A"/>
          <w:sz w:val="22"/>
        </w:rPr>
        <w:t>Le calcul des indices de visualisation (Hillshade, SVF, Local Dominance…)</w:t>
      </w:r>
    </w:p>
    <w:p>
      <w:pPr>
        <w:pStyle w:val="Normal"/>
        <w:spacing w:before="0" w:after="80"/>
        <w:ind w:hanging="283" w:left="850"/>
        <w:rPr/>
      </w:pPr>
      <w:r>
        <w:rPr>
          <w:color w:val="3A3A3A"/>
          <w:sz w:val="22"/>
        </w:rPr>
        <w:t xml:space="preserve">•  </w:t>
      </w:r>
      <w:r>
        <w:rPr>
          <w:color w:val="3A3A3A"/>
          <w:sz w:val="22"/>
        </w:rPr>
        <w:t>La détection automatique d'entités archéologiques par vision artificielle (IA)</w:t>
      </w:r>
    </w:p>
    <w:p>
      <w:pPr>
        <w:pStyle w:val="Normal"/>
        <w:spacing w:before="0" w:after="80"/>
        <w:ind w:hanging="283" w:left="850"/>
        <w:rPr/>
      </w:pPr>
      <w:r>
        <w:rPr>
          <w:color w:val="3A3A3A"/>
          <w:sz w:val="22"/>
        </w:rPr>
        <w:t xml:space="preserve">•  </w:t>
      </w:r>
      <w:r>
        <w:rPr>
          <w:color w:val="3A3A3A"/>
          <w:sz w:val="22"/>
        </w:rPr>
        <w:t>L'export des résultats sous forme de rasters géoréférencés, de shapefiles et d'un projet QGIS prêt à l'analyse</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rHeight w:val="960" w:hRule="atLeast"/>
        </w:trPr>
        <w:tc>
          <w:tcPr>
            <w:tcW w:w="9972" w:type="dxa"/>
            <w:tcBorders>
              <w:top w:val="single" w:sz="4" w:space="0" w:color="E3E3FD"/>
              <w:left w:val="single" w:sz="18" w:space="0" w:color="000091"/>
              <w:bottom w:val="single" w:sz="4" w:space="0" w:color="E3E3FD"/>
              <w:right w:val="single" w:sz="4" w:space="0" w:color="E3E3FD"/>
            </w:tcBorders>
            <w:shd w:fill="E3E3FD" w:val="clear"/>
          </w:tcPr>
          <w:p>
            <w:pPr>
              <w:pStyle w:val="Normal"/>
              <w:widowControl/>
              <w:bidi w:val="0"/>
              <w:spacing w:lineRule="auto" w:line="324" w:before="0" w:after="200"/>
              <w:jc w:val="left"/>
              <w:rPr/>
            </w:pPr>
            <w:r>
              <w:rPr>
                <w:b/>
                <w:color w:val="6A6AF4"/>
                <w:sz w:val="21"/>
              </w:rPr>
              <w:t xml:space="preserve">💡 </w:t>
            </w:r>
            <w:r>
              <w:rPr>
                <w:b/>
                <w:color w:val="6A6AF4"/>
                <w:sz w:val="21"/>
              </w:rPr>
              <w:t xml:space="preserve">Conseil — </w:t>
            </w:r>
            <w:r>
              <w:rPr>
                <w:color w:val="000091"/>
                <w:sz w:val="21"/>
              </w:rPr>
              <w:t>Si vous débutez, suivez d'abord le Démarrage rapide (</w:t>
            </w:r>
            <w:hyperlink w:anchor="_toc253">
              <w:r>
                <w:rPr>
                  <w:rStyle w:val="Hyperlink"/>
                  <w:color w:val="000091"/>
                  <w:sz w:val="21"/>
                </w:rPr>
                <w:t>section 3</w:t>
              </w:r>
            </w:hyperlink>
            <w:r>
              <w:rPr>
                <w:color w:val="000091"/>
                <w:sz w:val="21"/>
              </w:rPr>
              <w:t>) avant d'explorer les paramètres avancés.</w:t>
            </w:r>
          </w:p>
        </w:tc>
      </w:tr>
    </w:tbl>
    <w:p>
      <w:pPr>
        <w:pStyle w:val="Normal"/>
        <w:rPr/>
      </w:pPr>
      <w:r>
        <w:rPr/>
      </w:r>
    </w:p>
    <w:p>
      <w:pPr>
        <w:pStyle w:val="Heading2"/>
        <w:rPr/>
      </w:pPr>
      <w:bookmarkStart w:id="3" w:name="__RefHeading___Toc3879_1193836322"/>
      <w:bookmarkEnd w:id="3"/>
      <w:r>
        <w:rPr>
          <w:rFonts w:ascii="Segoe UI" w:hAnsi="Segoe UI"/>
          <w:b/>
          <w:color w:val="1F2E5E"/>
          <w:sz w:val="32"/>
        </w:rPr>
        <w:t>Comment ça marche — le pipeline de traitement</w:t>
      </w:r>
    </w:p>
    <w:p>
      <w:pPr>
        <w:pStyle w:val="Normal"/>
        <w:spacing w:lineRule="exact" w:line="320" w:before="0" w:after="160"/>
        <w:rPr/>
      </w:pPr>
      <w:r>
        <w:rPr>
          <w:color w:val="3A3A3A"/>
          <w:sz w:val="22"/>
        </w:rPr>
        <w:t>Le plugin enchaîne automatiquement les étapes suivantes. Selon le mode choisi, l'entrée dans le pipeline se fait à différents endroits.</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1F2E5E"/>
              <w:left w:val="single" w:sz="4" w:space="0" w:color="1F2E5E"/>
              <w:bottom w:val="single" w:sz="4" w:space="0" w:color="1F2E5E"/>
              <w:right w:val="single" w:sz="4" w:space="0" w:color="1F2E5E"/>
            </w:tcBorders>
            <w:shd w:fill="1F2E5E" w:val="clear"/>
          </w:tcPr>
          <w:p>
            <w:pPr>
              <w:pStyle w:val="Normal"/>
              <w:spacing w:before="20" w:after="20"/>
              <w:rPr/>
            </w:pPr>
            <w:r>
              <w:rPr>
                <w:rFonts w:ascii="Consolas" w:hAnsi="Consolas"/>
                <w:color w:val="ECF0F1"/>
                <w:sz w:val="19"/>
              </w:rPr>
              <w:t>LiDAR (.laz)  ──▶  MNT (.tif)  ──▶  RVT (.tif)  ──▶  IA (ONNX)  ──▶  Shapefiles (.gpkg)</w:t>
            </w:r>
          </w:p>
          <w:p>
            <w:pPr>
              <w:pStyle w:val="Normal"/>
              <w:spacing w:before="20" w:after="20"/>
              <w:rPr/>
            </w:pPr>
            <w:r>
              <w:rPr>
                <w:rFonts w:ascii="Consolas" w:hAnsi="Consolas"/>
                <w:color w:val="ECF0F1"/>
                <w:sz w:val="19"/>
              </w:rPr>
              <w:t xml:space="preserve">       │                │                │                 │                │</w:t>
            </w:r>
          </w:p>
          <w:p>
            <w:pPr>
              <w:pStyle w:val="Normal"/>
              <w:spacing w:before="20" w:after="20"/>
              <w:rPr/>
            </w:pPr>
            <w:r>
              <w:rPr>
                <w:rFonts w:ascii="Consolas" w:hAnsi="Consolas"/>
                <w:color w:val="ECF0F1"/>
                <w:sz w:val="19"/>
              </w:rPr>
              <w:t xml:space="preserve">  </w:t>
            </w:r>
            <w:r>
              <w:rPr>
                <w:rFonts w:ascii="Consolas" w:hAnsi="Consolas"/>
                <w:color w:val="ECF0F1"/>
                <w:sz w:val="19"/>
              </w:rPr>
              <w:t>mode ign_laz   mode existing_mnt   mode existing_rvt   détection par    shapefiles par</w:t>
            </w:r>
          </w:p>
          <w:p>
            <w:pPr>
              <w:pStyle w:val="Normal"/>
              <w:spacing w:before="20" w:after="20"/>
              <w:rPr/>
            </w:pPr>
            <w:r>
              <w:rPr>
                <w:rFonts w:ascii="Consolas" w:hAnsi="Consolas"/>
                <w:color w:val="ECF0F1"/>
                <w:sz w:val="19"/>
              </w:rPr>
              <w:t xml:space="preserve">  </w:t>
            </w:r>
            <w:r>
              <w:rPr>
                <w:rFonts w:ascii="Consolas" w:hAnsi="Consolas"/>
                <w:color w:val="ECF0F1"/>
                <w:sz w:val="19"/>
              </w:rPr>
              <w:t>mode local_laz                                         classe           classe détectée</w:t>
            </w:r>
          </w:p>
        </w:tc>
      </w:tr>
    </w:tbl>
    <w:p>
      <w:pPr>
        <w:pStyle w:val="Normal"/>
        <w:rPr/>
      </w:pPr>
      <w:r>
        <w:rPr/>
      </w:r>
    </w:p>
    <w:p>
      <w:pPr>
        <w:pStyle w:val="Normal"/>
        <w:spacing w:before="40" w:after="200"/>
        <w:jc w:val="center"/>
        <w:rPr/>
      </w:pPr>
      <w:r>
        <w:rPr>
          <w:b/>
          <w:i/>
          <w:color w:val="1F2E5E"/>
          <w:sz w:val="19"/>
        </w:rPr>
        <w:t xml:space="preserve">Figure </w:t>
      </w:r>
      <w:r>
        <w:rPr/>
        <w:fldChar w:fldCharType="begin"/>
      </w:r>
      <w:r>
        <w:rPr/>
        <w:instrText xml:space="preserve"> SEQ Figure \* ARABIC </w:instrText>
      </w:r>
      <w:r>
        <w:rPr/>
        <w:fldChar w:fldCharType="separate"/>
      </w:r>
      <w:r>
        <w:rPr/>
        <w:t>1</w:t>
      </w:r>
      <w:r>
        <w:rPr/>
        <w:fldChar w:fldCharType="end"/>
      </w:r>
      <w:r>
        <w:rPr>
          <w:i/>
          <w:color w:val="666666"/>
          <w:sz w:val="19"/>
        </w:rPr>
        <w:t xml:space="preserve">  —  Vue d'ensemble du pipeline de traitement</w:t>
      </w:r>
    </w:p>
    <w:p>
      <w:pPr>
        <w:pStyle w:val="Heading2"/>
        <w:rPr/>
      </w:pPr>
      <w:bookmarkStart w:id="4" w:name="__RefHeading___Toc3881_1193836322"/>
      <w:bookmarkEnd w:id="4"/>
      <w:r>
        <w:rPr>
          <w:rFonts w:ascii="Segoe UI" w:hAnsi="Segoe UI"/>
          <w:b/>
          <w:color w:val="1F2E5E"/>
          <w:sz w:val="32"/>
        </w:rPr>
        <w:t>Deux parcours de lecture</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c>
          <w:tcPr>
            <w:tcW w:w="4986" w:type="dxa"/>
            <w:tcBorders>
              <w:top w:val="single" w:sz="6" w:space="0" w:color="000091"/>
              <w:left w:val="single" w:sz="6" w:space="0" w:color="000091"/>
              <w:bottom w:val="single" w:sz="6" w:space="0" w:color="000091"/>
              <w:right w:val="single" w:sz="6" w:space="0" w:color="000091"/>
            </w:tcBorders>
            <w:shd w:fill="E3E3FD" w:val="clear"/>
          </w:tcPr>
          <w:p>
            <w:pPr>
              <w:pStyle w:val="Normal"/>
              <w:spacing w:before="60" w:after="40"/>
              <w:jc w:val="center"/>
              <w:rPr/>
            </w:pPr>
            <w:r>
              <w:rPr>
                <w:sz w:val="48"/>
              </w:rPr>
              <w:t>🚀</w:t>
            </w:r>
          </w:p>
          <w:p>
            <w:pPr>
              <w:pStyle w:val="Normal"/>
              <w:spacing w:before="0" w:after="40"/>
              <w:jc w:val="center"/>
              <w:rPr/>
            </w:pPr>
            <w:r>
              <w:rPr>
                <w:b/>
                <w:color w:val="000091"/>
                <w:sz w:val="24"/>
              </w:rPr>
              <w:t>Je veux démarrer vite</w:t>
            </w:r>
          </w:p>
          <w:p>
            <w:pPr>
              <w:pStyle w:val="Normal"/>
              <w:spacing w:before="0" w:after="60"/>
              <w:jc w:val="center"/>
              <w:rPr/>
            </w:pPr>
            <w:r>
              <w:rPr>
                <w:color w:val="3A3A3A"/>
                <w:sz w:val="20"/>
              </w:rPr>
              <w:t>Un scénario complet en 8 étapes avec un cas concret (mode ign_laz).</w:t>
            </w:r>
          </w:p>
          <w:p>
            <w:pPr>
              <w:pStyle w:val="Normal"/>
              <w:spacing w:before="0" w:after="80"/>
              <w:jc w:val="center"/>
              <w:rPr/>
            </w:pPr>
            <w:r>
              <w:rPr>
                <w:b/>
                <w:i/>
                <w:color w:val="000091"/>
                <w:sz w:val="19"/>
              </w:rPr>
              <w:t xml:space="preserve">→  </w:t>
            </w:r>
            <w:hyperlink w:anchor="section_demarrage_rapide">
              <w:r>
                <w:rPr>
                  <w:rStyle w:val="Style"/>
                  <w:b/>
                  <w:i/>
                  <w:color w:val="000091"/>
                  <w:sz w:val="19"/>
                  <w:u w:val="single"/>
                </w:rPr>
                <w:t>Section 3 — Démarrage rapide</w:t>
              </w:r>
            </w:hyperlink>
          </w:p>
        </w:tc>
        <w:tc>
          <w:tcPr>
            <w:tcW w:w="4985" w:type="dxa"/>
            <w:tcBorders>
              <w:top w:val="single" w:sz="6" w:space="0" w:color="0063CB"/>
              <w:left w:val="single" w:sz="6" w:space="0" w:color="0063CB"/>
              <w:bottom w:val="single" w:sz="6" w:space="0" w:color="0063CB"/>
              <w:right w:val="single" w:sz="6" w:space="0" w:color="0063CB"/>
            </w:tcBorders>
            <w:shd w:fill="E8F1FA" w:val="clear"/>
          </w:tcPr>
          <w:p>
            <w:pPr>
              <w:pStyle w:val="Normal"/>
              <w:spacing w:before="60" w:after="40"/>
              <w:jc w:val="center"/>
              <w:rPr/>
            </w:pPr>
            <w:r>
              <w:rPr>
                <w:sz w:val="48"/>
              </w:rPr>
              <w:t>⚙️</w:t>
            </w:r>
          </w:p>
          <w:p>
            <w:pPr>
              <w:pStyle w:val="Normal"/>
              <w:spacing w:before="0" w:after="40"/>
              <w:jc w:val="center"/>
              <w:rPr/>
            </w:pPr>
            <w:r>
              <w:rPr>
                <w:b/>
                <w:color w:val="0063CB"/>
                <w:sz w:val="24"/>
              </w:rPr>
              <w:t>Je veux tout paramétrer</w:t>
            </w:r>
          </w:p>
          <w:p>
            <w:pPr>
              <w:pStyle w:val="Normal"/>
              <w:spacing w:before="0" w:after="60"/>
              <w:jc w:val="center"/>
              <w:rPr/>
            </w:pPr>
            <w:r>
              <w:rPr>
                <w:color w:val="3A3A3A"/>
                <w:sz w:val="20"/>
              </w:rPr>
              <w:t>La configuration complète et tous les paramètres avancés.</w:t>
            </w:r>
          </w:p>
          <w:p>
            <w:pPr>
              <w:pStyle w:val="Normal"/>
              <w:spacing w:before="0" w:after="80"/>
              <w:jc w:val="center"/>
              <w:rPr/>
            </w:pPr>
            <w:r>
              <w:rPr>
                <w:b/>
                <w:i/>
                <w:color w:val="0063CB"/>
                <w:sz w:val="19"/>
              </w:rPr>
              <w:t xml:space="preserve">→  </w:t>
            </w:r>
            <w:hyperlink w:anchor="section_configuration">
              <w:r>
                <w:rPr>
                  <w:rStyle w:val="Style"/>
                  <w:b/>
                  <w:i/>
                  <w:color w:val="0063CB"/>
                  <w:sz w:val="19"/>
                  <w:u w:val="single"/>
                </w:rPr>
                <w:t>Section 5 + Annexes techniques</w:t>
              </w:r>
            </w:hyperlink>
          </w:p>
        </w:tc>
      </w:tr>
    </w:tbl>
    <w:p>
      <w:pPr>
        <w:pStyle w:val="Normal"/>
        <w:rPr/>
      </w:pPr>
      <w:r>
        <w:rPr/>
      </w:r>
    </w:p>
    <w:p>
      <w:pPr>
        <w:pStyle w:val="Heading1"/>
        <w:pBdr>
          <w:left w:val="single" w:sz="36" w:space="10" w:color="000091"/>
        </w:pBdr>
        <w:ind w:left="170"/>
        <w:rPr/>
      </w:pPr>
      <w:bookmarkStart w:id="5" w:name="__RefHeading___Toc3883_1193836322"/>
      <w:bookmarkEnd w:id="5"/>
      <w:r>
        <w:rPr>
          <w:rFonts w:ascii="Segoe UI" w:hAnsi="Segoe UI"/>
          <w:b/>
          <w:color w:val="000091"/>
          <w:sz w:val="44"/>
        </w:rPr>
        <w:t xml:space="preserve">📋  </w:t>
      </w:r>
      <w:r>
        <w:rPr>
          <w:rFonts w:ascii="Segoe UI" w:hAnsi="Segoe UI"/>
          <w:b/>
          <w:color w:val="000091"/>
          <w:sz w:val="44"/>
        </w:rPr>
        <w:t>2. Prérequis et installation</w:t>
      </w:r>
    </w:p>
    <w:p>
      <w:pPr>
        <w:pStyle w:val="Normal"/>
        <w:pBdr>
          <w:bottom w:val="single" w:sz="12" w:space="1" w:color="6A6AF4"/>
        </w:pBdr>
        <w:spacing w:before="0" w:after="120"/>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6A6AF4"/>
              <w:left w:val="single" w:sz="4" w:space="0" w:color="6A6AF4"/>
              <w:bottom w:val="single" w:sz="4" w:space="0" w:color="6A6AF4"/>
              <w:right w:val="single" w:sz="4" w:space="0" w:color="6A6AF4"/>
            </w:tcBorders>
            <w:shd w:fill="F2F2FE" w:val="clear"/>
          </w:tcPr>
          <w:p>
            <w:pPr>
              <w:pStyle w:val="Normal"/>
              <w:spacing w:before="40" w:after="80"/>
              <w:rPr/>
            </w:pPr>
            <w:r>
              <w:rPr>
                <w:b/>
                <w:color w:val="000091"/>
                <w:sz w:val="20"/>
              </w:rPr>
              <w:t xml:space="preserve">👁️  </w:t>
            </w:r>
            <w:r>
              <w:rPr>
                <w:b/>
                <w:color w:val="000091"/>
                <w:sz w:val="20"/>
              </w:rPr>
              <w:t>EN UN COUP D'ŒIL</w:t>
            </w:r>
            <w:r>
              <w:rPr>
                <w:i/>
                <w:color w:val="666666"/>
                <w:sz w:val="18"/>
              </w:rPr>
              <w:t xml:space="preserve">   •   ⏱ 5 min de lecture</w:t>
            </w:r>
          </w:p>
          <w:p>
            <w:pPr>
              <w:pStyle w:val="Normal"/>
              <w:spacing w:before="20" w:after="20"/>
              <w:ind w:left="170"/>
              <w:rPr/>
            </w:pPr>
            <w:r>
              <w:rPr>
                <w:b/>
                <w:color w:val="6A6AF4"/>
                <w:sz w:val="21"/>
              </w:rPr>
              <w:t xml:space="preserve">•  </w:t>
            </w:r>
            <w:r>
              <w:rPr>
                <w:color w:val="3A3A3A"/>
                <w:sz w:val="21"/>
              </w:rPr>
              <w:t>Logiciels requis (QGIS, PDAL)</w:t>
            </w:r>
          </w:p>
          <w:p>
            <w:pPr>
              <w:pStyle w:val="Normal"/>
              <w:spacing w:before="20" w:after="20"/>
              <w:ind w:left="170"/>
              <w:rPr/>
            </w:pPr>
            <w:r>
              <w:rPr>
                <w:b/>
                <w:color w:val="6A6AF4"/>
                <w:sz w:val="21"/>
              </w:rPr>
              <w:t xml:space="preserve">•  </w:t>
            </w:r>
            <w:r>
              <w:rPr>
                <w:color w:val="3A3A3A"/>
                <w:sz w:val="21"/>
              </w:rPr>
              <w:t>Installation du plugin en 4 étapes</w:t>
            </w:r>
          </w:p>
          <w:p>
            <w:pPr>
              <w:pStyle w:val="Normal"/>
              <w:spacing w:before="20" w:after="20"/>
              <w:ind w:left="170"/>
              <w:rPr/>
            </w:pPr>
            <w:r>
              <w:rPr>
                <w:b/>
                <w:color w:val="6A6AF4"/>
                <w:sz w:val="21"/>
              </w:rPr>
              <w:t xml:space="preserve">•  </w:t>
            </w:r>
            <w:r>
              <w:rPr>
                <w:color w:val="3A3A3A"/>
                <w:sz w:val="21"/>
              </w:rPr>
              <w:t>Structure des données à déposer dans data/</w:t>
            </w:r>
          </w:p>
          <w:p>
            <w:pPr>
              <w:pStyle w:val="Normal"/>
              <w:spacing w:before="20" w:after="20"/>
              <w:ind w:left="170"/>
              <w:rPr/>
            </w:pPr>
            <w:r>
              <w:rPr>
                <w:b/>
                <w:color w:val="6A6AF4"/>
                <w:sz w:val="21"/>
              </w:rPr>
              <w:t xml:space="preserve">•  </w:t>
            </w:r>
            <w:r>
              <w:rPr>
                <w:color w:val="3A3A3A"/>
                <w:sz w:val="21"/>
              </w:rPr>
              <w:t>Vérification automatique au premier lancement</w:t>
            </w:r>
          </w:p>
        </w:tc>
      </w:tr>
    </w:tbl>
    <w:p>
      <w:pPr>
        <w:pStyle w:val="Normal"/>
        <w:rPr/>
      </w:pPr>
      <w:r>
        <w:rPr/>
      </w:r>
    </w:p>
    <w:p>
      <w:pPr>
        <w:pStyle w:val="Heading2"/>
        <w:rPr/>
      </w:pPr>
      <w:bookmarkStart w:id="6" w:name="__RefHeading___Toc3885_1193836322"/>
      <w:bookmarkEnd w:id="6"/>
      <w:r>
        <w:rPr>
          <w:rFonts w:ascii="Segoe UI" w:hAnsi="Segoe UI"/>
          <w:b/>
          <w:color w:val="1F2E5E"/>
          <w:sz w:val="32"/>
        </w:rPr>
        <w:t>2.1 Logiciels requis</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Logiciel</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Version minimale</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Remarque</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QGIS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3.28 LTR</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Installation via OSGeo4W recommandée</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PDAL</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inclus dans QGIS OSGeo4W</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Traitement des nuages de points</w:t>
            </w:r>
          </w:p>
        </w:tc>
      </w:tr>
    </w:tbl>
    <w:p>
      <w:pPr>
        <w:pStyle w:val="Normal"/>
        <w:rPr/>
      </w:pPr>
      <w:r>
        <w:rPr/>
      </w:r>
    </w:p>
    <w:p>
      <w:pPr>
        <w:pStyle w:val="Heading2"/>
        <w:rPr/>
      </w:pPr>
      <w:bookmarkStart w:id="7" w:name="__RefHeading___Toc3887_1193836322"/>
      <w:bookmarkEnd w:id="7"/>
      <w:r>
        <w:rPr>
          <w:rFonts w:ascii="Segoe UI" w:hAnsi="Segoe UI"/>
          <w:b/>
          <w:color w:val="1F2E5E"/>
          <w:sz w:val="32"/>
        </w:rPr>
        <w:t>2.2 Installation du plugin</w:t>
      </w:r>
    </w:p>
    <w:p>
      <w:pPr>
        <w:pStyle w:val="Normal"/>
        <w:spacing w:before="0" w:after="80"/>
        <w:ind w:hanging="283" w:left="850"/>
        <w:rPr/>
      </w:pPr>
      <w:r>
        <w:rPr>
          <w:color w:val="3A3A3A"/>
          <w:sz w:val="22"/>
        </w:rPr>
        <w:t xml:space="preserve">•  </w:t>
      </w:r>
      <w:r>
        <w:rPr>
          <w:color w:val="3A3A3A"/>
          <w:sz w:val="22"/>
        </w:rPr>
        <w:t>Télécharger l'archive .zip du plugin</w:t>
      </w:r>
    </w:p>
    <w:p>
      <w:pPr>
        <w:pStyle w:val="Normal"/>
        <w:spacing w:before="0" w:after="80"/>
        <w:ind w:hanging="283" w:left="850"/>
        <w:rPr>
          <w:color w:val="3A3A3A"/>
          <w:sz w:val="22"/>
        </w:rPr>
      </w:pPr>
      <w:r>
        <w:rPr>
          <w:color w:val="3A3A3A"/>
          <w:sz w:val="22"/>
        </w:rPr>
        <w:t xml:space="preserve">•  </w:t>
      </w:r>
      <w:r>
        <w:rPr>
          <w:color w:val="3A3A3A"/>
          <w:sz w:val="22"/>
        </w:rPr>
        <w:t>Dans QGIS : Extensions → Installer/Gérer les extensions → Installer depuis un ZIP</w:t>
      </w:r>
    </w:p>
    <w:p>
      <w:pPr>
        <w:pStyle w:val="Normal"/>
        <w:spacing w:before="0" w:after="80"/>
        <w:ind w:hanging="283" w:left="850"/>
        <w:rPr>
          <w:color w:val="3A3A3A"/>
          <w:sz w:val="22"/>
        </w:rPr>
      </w:pPr>
      <w:r>
        <w:drawing>
          <wp:anchor behindDoc="0" distT="0" distB="0" distL="0" distR="0" simplePos="0" locked="0" layoutInCell="0" allowOverlap="1" relativeHeight="2">
            <wp:simplePos x="0" y="0"/>
            <wp:positionH relativeFrom="column">
              <wp:posOffset>106045</wp:posOffset>
            </wp:positionH>
            <wp:positionV relativeFrom="paragraph">
              <wp:posOffset>10160</wp:posOffset>
            </wp:positionV>
            <wp:extent cx="6120130" cy="11461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1146175"/>
                    </a:xfrm>
                    <a:prstGeom prst="rect">
                      <a:avLst/>
                    </a:prstGeom>
                    <a:noFill/>
                  </pic:spPr>
                </pic:pic>
              </a:graphicData>
            </a:graphic>
          </wp:anchor>
        </w:drawing>
      </w:r>
      <w:r>
        <w:rPr>
          <w:color w:val="3A3A3A"/>
          <w:sz w:val="22"/>
        </w:rPr>
        <w:t xml:space="preserve">•  </w:t>
      </w:r>
      <w:r>
        <w:rPr>
          <w:color w:val="3A3A3A"/>
          <w:sz w:val="22"/>
        </w:rPr>
        <w:t>Sélectionner le fichier .zip téléchargé</w:t>
      </w:r>
    </w:p>
    <w:p>
      <w:pPr>
        <w:pStyle w:val="Normal"/>
        <w:spacing w:before="0" w:after="80"/>
        <w:ind w:hanging="283" w:left="850"/>
        <w:rPr/>
      </w:pPr>
      <w:r>
        <w:rPr>
          <w:color w:val="3A3A3A"/>
          <w:sz w:val="22"/>
        </w:rPr>
        <w:t xml:space="preserve">•  </w:t>
      </w:r>
      <w:r>
        <w:drawing>
          <wp:anchor behindDoc="0" distT="0" distB="0" distL="0" distR="0" simplePos="0" locked="0" layoutInCell="0" allowOverlap="1" relativeHeight="3">
            <wp:simplePos x="0" y="0"/>
            <wp:positionH relativeFrom="column">
              <wp:posOffset>121920</wp:posOffset>
            </wp:positionH>
            <wp:positionV relativeFrom="paragraph">
              <wp:posOffset>-19050</wp:posOffset>
            </wp:positionV>
            <wp:extent cx="6120130" cy="12731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20130" cy="1273175"/>
                    </a:xfrm>
                    <a:prstGeom prst="rect">
                      <a:avLst/>
                    </a:prstGeom>
                    <a:noFill/>
                  </pic:spPr>
                </pic:pic>
              </a:graphicData>
            </a:graphic>
          </wp:anchor>
        </w:drawing>
      </w:r>
      <w:r>
        <w:rPr>
          <w:color w:val="3A3A3A"/>
          <w:sz w:val="22"/>
        </w:rPr>
        <w:t>Cliquer sur Installer l’extension</w:t>
      </w:r>
    </w:p>
    <w:p>
      <w:pPr>
        <w:pStyle w:val="Normal"/>
        <w:spacing w:lineRule="exact" w:line="320" w:before="0" w:after="160"/>
        <w:rPr>
          <w:color w:val="3A3A3A"/>
          <w:sz w:val="22"/>
        </w:rPr>
      </w:pPr>
      <w:r>
        <w:rPr>
          <w:color w:val="3A3A3A"/>
          <w:sz w:val="22"/>
        </w:rPr>
        <w:t>Le plugin apparaît ensuite dans le menu Extensions → Archéolog'IA.</w:t>
      </w:r>
    </w:p>
    <w:p>
      <w:pPr>
        <w:pStyle w:val="Normal"/>
        <w:spacing w:lineRule="exact" w:line="320" w:before="0" w:after="160"/>
        <w:rPr>
          <w:rFonts w:ascii="Segoe UI" w:hAnsi="Segoe UI"/>
          <w:b/>
          <w:color w:val="3A3A3A"/>
          <w:sz w:val="22"/>
        </w:rPr>
      </w:pPr>
      <w:r>
        <w:rPr>
          <w:b/>
          <w:color w:val="3A3A3A"/>
          <w:sz w:val="22"/>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117538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120130" cy="1175385"/>
                    </a:xfrm>
                    <a:prstGeom prst="rect">
                      <a:avLst/>
                    </a:prstGeom>
                    <a:noFill/>
                  </pic:spPr>
                </pic:pic>
              </a:graphicData>
            </a:graphic>
          </wp:anchor>
        </w:drawing>
      </w:r>
    </w:p>
    <w:p>
      <w:pPr>
        <w:pStyle w:val="Heading2"/>
        <w:rPr/>
      </w:pPr>
      <w:bookmarkStart w:id="8" w:name="__RefHeading___Toc3897_1193836322"/>
      <w:bookmarkEnd w:id="8"/>
      <w:r>
        <w:rPr>
          <w:rFonts w:ascii="Segoe UI" w:hAnsi="Segoe UI"/>
          <w:b/>
          <w:color w:val="1F2E5E"/>
          <w:sz w:val="32"/>
        </w:rPr>
        <w:t>2.3 Vérification de l'installation</w:t>
      </w:r>
    </w:p>
    <w:p>
      <w:pPr>
        <w:pStyle w:val="Normal"/>
        <w:spacing w:lineRule="exact" w:line="320" w:before="0" w:after="160"/>
        <w:rPr/>
      </w:pPr>
      <w:r>
        <w:rPr>
          <w:color w:val="3A3A3A"/>
          <w:sz w:val="22"/>
        </w:rPr>
        <w:t>Au premier lancement du plugin, une vérification automatique est effectuée. En cas d'élément manquant, un message d'erreur indique précisément ce qui est absent.</w:t>
      </w:r>
    </w:p>
    <w:p>
      <w:pPr>
        <w:pStyle w:val="Normal"/>
        <w:rPr/>
      </w:pPr>
      <w:r>
        <w:rPr/>
      </w:r>
      <w:r>
        <w:br w:type="page"/>
      </w:r>
    </w:p>
    <w:p>
      <w:pPr>
        <w:pStyle w:val="Heading1"/>
        <w:pBdr>
          <w:left w:val="single" w:sz="36" w:space="10" w:color="000091"/>
        </w:pBdr>
        <w:spacing w:before="0" w:after="120"/>
        <w:ind w:left="170"/>
        <w:rPr/>
      </w:pPr>
      <w:bookmarkStart w:id="9" w:name="__RefHeading___Toc3899_1193836322"/>
      <w:bookmarkStart w:id="10" w:name="section_demarrage_rapide"/>
      <w:bookmarkStart w:id="11" w:name="_toc253"/>
      <w:bookmarkEnd w:id="9"/>
      <w:bookmarkEnd w:id="11"/>
      <w:r>
        <w:rPr>
          <w:rFonts w:ascii="Segoe UI" w:hAnsi="Segoe UI"/>
          <w:b/>
          <w:color w:val="000091"/>
          <w:sz w:val="44"/>
        </w:rPr>
        <w:t xml:space="preserve">🚀  </w:t>
      </w:r>
      <w:r>
        <w:rPr>
          <w:rFonts w:ascii="Segoe UI" w:hAnsi="Segoe UI"/>
          <w:b/>
          <w:color w:val="000091"/>
          <w:sz w:val="44"/>
        </w:rPr>
        <w:t xml:space="preserve">3. </w:t>
      </w:r>
      <w:hyperlink w:anchor="_toc253">
        <w:r>
          <w:rPr>
            <w:rStyle w:val="Hyperlink"/>
            <w:rFonts w:ascii="Segoe UI" w:hAnsi="Segoe UI"/>
            <w:b/>
            <w:color w:val="000091"/>
            <w:sz w:val="44"/>
          </w:rPr>
          <w:t>Démarrage rapide</w:t>
        </w:r>
      </w:hyperlink>
      <w:bookmarkEnd w:id="10"/>
    </w:p>
    <w:p>
      <w:pPr>
        <w:pStyle w:val="Normal"/>
        <w:pBdr>
          <w:bottom w:val="single" w:sz="12" w:space="1" w:color="6A6AF4"/>
        </w:pBdr>
        <w:spacing w:before="0" w:after="120"/>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6A6AF4"/>
              <w:left w:val="single" w:sz="4" w:space="0" w:color="6A6AF4"/>
              <w:bottom w:val="single" w:sz="4" w:space="0" w:color="6A6AF4"/>
              <w:right w:val="single" w:sz="4" w:space="0" w:color="6A6AF4"/>
            </w:tcBorders>
            <w:shd w:fill="F2F2FE" w:val="clear"/>
          </w:tcPr>
          <w:p>
            <w:pPr>
              <w:pStyle w:val="Normal"/>
              <w:spacing w:before="40" w:after="80"/>
              <w:rPr/>
            </w:pPr>
            <w:r>
              <w:rPr>
                <w:b/>
                <w:color w:val="000091"/>
                <w:sz w:val="20"/>
              </w:rPr>
              <w:t xml:space="preserve">👁️  </w:t>
            </w:r>
            <w:r>
              <w:rPr>
                <w:b/>
                <w:color w:val="000091"/>
                <w:sz w:val="20"/>
              </w:rPr>
              <w:t>EN UN COUP D'ŒIL</w:t>
            </w:r>
            <w:r>
              <w:rPr>
                <w:i/>
                <w:color w:val="666666"/>
                <w:sz w:val="18"/>
              </w:rPr>
              <w:t xml:space="preserve">   •   ⏱ 10 min de lecture</w:t>
            </w:r>
          </w:p>
          <w:p>
            <w:pPr>
              <w:pStyle w:val="Normal"/>
              <w:spacing w:before="20" w:after="20"/>
              <w:ind w:left="170"/>
              <w:rPr/>
            </w:pPr>
            <w:r>
              <w:rPr>
                <w:b/>
                <w:color w:val="6A6AF4"/>
                <w:sz w:val="21"/>
              </w:rPr>
              <w:t xml:space="preserve">•  </w:t>
            </w:r>
            <w:r>
              <w:rPr>
                <w:color w:val="3A3A3A"/>
                <w:sz w:val="21"/>
              </w:rPr>
              <w:t>Un scénario complet, du chargement à l'analyse</w:t>
            </w:r>
          </w:p>
          <w:p>
            <w:pPr>
              <w:pStyle w:val="Normal"/>
              <w:spacing w:before="20" w:after="20"/>
              <w:ind w:left="170"/>
              <w:rPr/>
            </w:pPr>
            <w:r>
              <w:rPr>
                <w:b/>
                <w:color w:val="6A6AF4"/>
                <w:sz w:val="21"/>
              </w:rPr>
              <w:t xml:space="preserve">•  </w:t>
            </w:r>
            <w:r>
              <w:rPr>
                <w:color w:val="3A3A3A"/>
                <w:sz w:val="21"/>
              </w:rPr>
              <w:t>8 étapes illustrées avec des captures</w:t>
            </w:r>
          </w:p>
          <w:p>
            <w:pPr>
              <w:pStyle w:val="Normal"/>
              <w:spacing w:before="20" w:after="20"/>
              <w:ind w:left="170"/>
              <w:rPr/>
            </w:pPr>
            <w:r>
              <w:rPr>
                <w:b/>
                <w:color w:val="6A6AF4"/>
                <w:sz w:val="21"/>
              </w:rPr>
              <w:t xml:space="preserve">•  </w:t>
            </w:r>
            <w:r>
              <w:rPr>
                <w:color w:val="3A3A3A"/>
                <w:sz w:val="21"/>
              </w:rPr>
              <w:t>Base solide pour ensuite creuser la configuration</w:t>
            </w:r>
          </w:p>
        </w:tc>
      </w:tr>
    </w:tbl>
    <w:p>
      <w:pPr>
        <w:pStyle w:val="Normal"/>
        <w:rPr/>
      </w:pPr>
      <w:r>
        <w:rPr/>
      </w:r>
    </w:p>
    <w:p>
      <w:pPr>
        <w:pStyle w:val="Normal"/>
        <w:spacing w:lineRule="exact" w:line="320" w:before="0" w:after="160"/>
        <w:rPr/>
      </w:pPr>
      <w:r>
        <w:rPr>
          <w:color w:val="3A3A3A"/>
          <w:sz w:val="22"/>
        </w:rPr>
        <w:t>Ce guide illustre un cas d'usage typique : détecter des entités archéologiques sur une zone à partir du LiDAR IGN.</w:t>
      </w:r>
    </w:p>
    <w:p>
      <w:pPr>
        <w:pStyle w:val="Heading2"/>
        <w:spacing w:before="280" w:after="0"/>
        <w:rPr/>
      </w:pPr>
      <w:bookmarkStart w:id="12" w:name="__RefHeading___Toc3901_1193836322"/>
      <w:bookmarkEnd w:id="12"/>
      <w:r>
        <w:rPr>
          <w:b/>
          <w:color w:val="FFFFFF"/>
          <w:sz w:val="2"/>
        </w:rPr>
        <w:t>Étape 1 — Ouvrir le plugin</w:t>
      </w:r>
    </w:p>
    <w:tbl>
      <w:tblPr>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c>
          <w:tcPr>
            <w:tcW w:w="4986" w:type="dxa"/>
            <w:tcBorders/>
            <w:shd w:fill="000091" w:val="clear"/>
          </w:tcPr>
          <w:p>
            <w:pPr>
              <w:pStyle w:val="Normal"/>
              <w:spacing w:before="40" w:after="40"/>
              <w:jc w:val="center"/>
              <w:rPr/>
            </w:pPr>
            <w:r>
              <w:rPr>
                <w:b/>
                <w:color w:val="FFFFFF"/>
                <w:sz w:val="36"/>
              </w:rPr>
              <w:t>1</w:t>
            </w:r>
          </w:p>
        </w:tc>
        <w:tc>
          <w:tcPr>
            <w:tcW w:w="4985" w:type="dxa"/>
            <w:tcBorders>
              <w:bottom w:val="single" w:sz="8" w:space="0" w:color="000091"/>
            </w:tcBorders>
          </w:tcPr>
          <w:p>
            <w:pPr>
              <w:pStyle w:val="Normal"/>
              <w:spacing w:before="160" w:after="200"/>
              <w:ind w:left="170"/>
              <w:rPr/>
            </w:pPr>
            <w:r>
              <w:rPr>
                <w:b/>
                <w:color w:val="000091"/>
                <w:sz w:val="30"/>
              </w:rPr>
              <w:t>Étape 1 — Ouvrir le plugin</w:t>
            </w:r>
          </w:p>
        </w:tc>
      </w:tr>
    </w:tbl>
    <w:p>
      <w:pPr>
        <w:pStyle w:val="Normal"/>
        <w:rPr/>
      </w:pPr>
      <w:r>
        <w:rPr/>
      </w:r>
    </w:p>
    <w:p>
      <w:pPr>
        <w:pStyle w:val="Normal"/>
        <w:spacing w:lineRule="exact" w:line="320" w:before="0" w:after="160"/>
        <w:rPr/>
      </w:pPr>
      <w:r>
        <w:rPr>
          <w:color w:val="3A3A3A"/>
          <w:sz w:val="22"/>
        </w:rPr>
        <w:t>Dans QGIS, cliquer sur Extensions → Archéolog'IA.</w:t>
      </w:r>
    </w:p>
    <w:p>
      <w:pPr>
        <w:pStyle w:val="Normal"/>
        <w:spacing w:lineRule="exact" w:line="320" w:before="0" w:after="160"/>
        <w:rPr/>
      </w:pPr>
      <w:r>
        <w:rPr>
          <w:color w:val="3A3A3A"/>
          <w:sz w:val="22"/>
        </w:rPr>
        <w:t>La fenêtre principale s'ouvre. Elle est organisée en deux parties :</w:t>
      </w:r>
    </w:p>
    <w:p>
      <w:pPr>
        <w:pStyle w:val="Normal"/>
        <w:spacing w:before="0" w:after="80"/>
        <w:ind w:hanging="283" w:left="850"/>
        <w:rPr/>
      </w:pPr>
      <w:r>
        <w:rPr>
          <w:color w:val="3A3A3A"/>
          <w:sz w:val="22"/>
        </w:rPr>
        <w:t xml:space="preserve">•  </w:t>
      </w:r>
      <w:r>
        <w:rPr>
          <w:color w:val="3A3A3A"/>
          <w:sz w:val="22"/>
        </w:rPr>
        <w:t>Partie haute : la configuration (paramètres du traitement)</w:t>
      </w:r>
    </w:p>
    <w:p>
      <w:pPr>
        <w:pStyle w:val="Normal"/>
        <w:spacing w:before="0" w:after="80"/>
        <w:ind w:hanging="283" w:left="850"/>
        <w:rPr>
          <w:color w:val="3A3A3A"/>
          <w:sz w:val="22"/>
        </w:rPr>
      </w:pPr>
      <w:r>
        <w:rPr>
          <w:color w:val="3A3A3A"/>
          <w:sz w:val="22"/>
        </w:rPr>
        <w:t xml:space="preserve">•  </w:t>
      </w:r>
      <w:r>
        <w:rPr>
          <w:color w:val="3A3A3A"/>
          <w:sz w:val="22"/>
        </w:rPr>
        <w:t>Partie basse : la console de logs (suivi en temps réel)</w:t>
      </w:r>
    </w:p>
    <w:p>
      <w:pPr>
        <w:pStyle w:val="Normal"/>
        <w:spacing w:before="0" w:after="80"/>
        <w:ind w:hanging="283" w:left="850"/>
        <w:rPr>
          <w:i/>
          <w:i/>
          <w:color w:val="666666"/>
          <w:sz w:val="19"/>
        </w:rPr>
      </w:pPr>
      <w:r>
        <w:rPr>
          <w:i/>
          <w:color w:val="666666"/>
          <w:sz w:val="19"/>
        </w:rPr>
      </w:r>
    </w:p>
    <w:p>
      <w:pPr>
        <w:pStyle w:val="Normal"/>
        <w:spacing w:before="0" w:after="80"/>
        <w:ind w:hanging="283" w:left="850"/>
        <w:rPr>
          <w:i/>
          <w:i/>
          <w:color w:val="666666"/>
          <w:sz w:val="19"/>
        </w:rPr>
      </w:pPr>
      <w:r>
        <w:rPr>
          <w:i/>
          <w:color w:val="666666"/>
          <w:sz w:val="19"/>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062095" cy="347535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062095" cy="3475355"/>
                    </a:xfrm>
                    <a:prstGeom prst="rect">
                      <a:avLst/>
                    </a:prstGeom>
                    <a:noFill/>
                  </pic:spPr>
                </pic:pic>
              </a:graphicData>
            </a:graphic>
          </wp:anchor>
        </w:drawing>
      </w:r>
    </w:p>
    <w:p>
      <w:pPr>
        <w:pStyle w:val="Normal"/>
        <w:spacing w:before="0" w:after="80"/>
        <w:ind w:hanging="283" w:left="850"/>
        <w:rPr>
          <w:i/>
          <w:i/>
          <w:color w:val="666666"/>
          <w:sz w:val="19"/>
        </w:rPr>
      </w:pPr>
      <w:r>
        <w:rPr>
          <w:i/>
          <w:color w:val="666666"/>
          <w:sz w:val="19"/>
        </w:rPr>
      </w:r>
    </w:p>
    <w:p>
      <w:pPr>
        <w:pStyle w:val="Normal"/>
        <w:spacing w:before="0" w:after="80"/>
        <w:ind w:hanging="283" w:left="850"/>
        <w:rPr>
          <w:i/>
          <w:i/>
          <w:color w:val="666666"/>
          <w:sz w:val="19"/>
        </w:rPr>
      </w:pPr>
      <w:r>
        <w:rPr>
          <w:i/>
          <w:color w:val="666666"/>
          <w:sz w:val="19"/>
        </w:rPr>
      </w:r>
    </w:p>
    <w:p>
      <w:pPr>
        <w:pStyle w:val="Normal"/>
        <w:spacing w:before="0" w:after="80"/>
        <w:ind w:hanging="283" w:left="850"/>
        <w:rPr>
          <w:i/>
          <w:i/>
          <w:color w:val="666666"/>
          <w:sz w:val="19"/>
        </w:rPr>
      </w:pPr>
      <w:r>
        <w:rPr>
          <w:i/>
          <w:color w:val="666666"/>
          <w:sz w:val="19"/>
        </w:rPr>
      </w:r>
    </w:p>
    <w:p>
      <w:pPr>
        <w:pStyle w:val="Normal"/>
        <w:spacing w:before="0" w:after="80"/>
        <w:ind w:hanging="283" w:left="850"/>
        <w:rPr>
          <w:i/>
          <w:i/>
          <w:color w:val="666666"/>
          <w:sz w:val="19"/>
        </w:rPr>
      </w:pPr>
      <w:r>
        <w:rPr>
          <w:i/>
          <w:color w:val="666666"/>
          <w:sz w:val="19"/>
        </w:rPr>
      </w:r>
    </w:p>
    <w:p>
      <w:pPr>
        <w:pStyle w:val="Normal"/>
        <w:spacing w:before="0" w:after="80"/>
        <w:ind w:hanging="283" w:left="850"/>
        <w:rPr>
          <w:i/>
          <w:i/>
          <w:color w:val="666666"/>
          <w:sz w:val="19"/>
        </w:rPr>
      </w:pPr>
      <w:r>
        <w:rPr>
          <w:i/>
          <w:color w:val="666666"/>
          <w:sz w:val="19"/>
        </w:rPr>
      </w:r>
    </w:p>
    <w:p>
      <w:pPr>
        <w:pStyle w:val="Normal"/>
        <w:spacing w:before="0" w:after="80"/>
        <w:ind w:hanging="283" w:left="850"/>
        <w:rPr>
          <w:i/>
          <w:i/>
          <w:color w:val="666666"/>
          <w:sz w:val="19"/>
        </w:rPr>
      </w:pPr>
      <w:r>
        <w:rPr>
          <w:i/>
          <w:color w:val="666666"/>
          <w:sz w:val="19"/>
        </w:rPr>
      </w:r>
    </w:p>
    <w:p>
      <w:pPr>
        <w:pStyle w:val="Normal"/>
        <w:spacing w:before="0" w:after="80"/>
        <w:ind w:hanging="283" w:left="850"/>
        <w:rPr>
          <w:i/>
          <w:i/>
          <w:color w:val="666666"/>
          <w:sz w:val="19"/>
        </w:rPr>
      </w:pPr>
      <w:r>
        <w:rPr>
          <w:i/>
          <w:color w:val="666666"/>
          <w:sz w:val="19"/>
        </w:rPr>
      </w:r>
    </w:p>
    <w:p>
      <w:pPr>
        <w:pStyle w:val="Normal"/>
        <w:spacing w:before="0" w:after="80"/>
        <w:ind w:hanging="283" w:left="850"/>
        <w:rPr>
          <w:i/>
          <w:i/>
          <w:color w:val="666666"/>
          <w:sz w:val="19"/>
        </w:rPr>
      </w:pPr>
      <w:r>
        <w:rPr>
          <w:i/>
          <w:color w:val="666666"/>
          <w:sz w:val="19"/>
        </w:rPr>
      </w:r>
    </w:p>
    <w:p>
      <w:pPr>
        <w:pStyle w:val="Heading2"/>
        <w:spacing w:before="280" w:after="0"/>
        <w:rPr/>
      </w:pPr>
      <w:bookmarkStart w:id="13" w:name="__RefHeading___Toc3903_1193836322"/>
      <w:bookmarkEnd w:id="13"/>
      <w:r>
        <w:rPr>
          <w:b/>
          <w:color w:val="FFFFFF"/>
          <w:sz w:val="2"/>
        </w:rPr>
        <w:t>Étape 2 — Choisir le mode de traitement</w:t>
      </w:r>
    </w:p>
    <w:tbl>
      <w:tblPr>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c>
          <w:tcPr>
            <w:tcW w:w="4986" w:type="dxa"/>
            <w:tcBorders/>
            <w:shd w:fill="000091" w:val="clear"/>
          </w:tcPr>
          <w:p>
            <w:pPr>
              <w:pStyle w:val="Normal"/>
              <w:spacing w:before="40" w:after="40"/>
              <w:jc w:val="center"/>
              <w:rPr/>
            </w:pPr>
            <w:r>
              <w:rPr>
                <w:b/>
                <w:color w:val="FFFFFF"/>
                <w:sz w:val="36"/>
              </w:rPr>
              <w:t>2</w:t>
            </w:r>
          </w:p>
        </w:tc>
        <w:tc>
          <w:tcPr>
            <w:tcW w:w="4985" w:type="dxa"/>
            <w:tcBorders>
              <w:bottom w:val="single" w:sz="8" w:space="0" w:color="000091"/>
            </w:tcBorders>
          </w:tcPr>
          <w:p>
            <w:pPr>
              <w:pStyle w:val="Normal"/>
              <w:spacing w:before="160" w:after="200"/>
              <w:ind w:left="170"/>
              <w:rPr/>
            </w:pPr>
            <w:r>
              <w:rPr>
                <w:b/>
                <w:color w:val="000091"/>
                <w:sz w:val="30"/>
              </w:rPr>
              <w:t>Étape 2 — Choisir le mode de traitement</w:t>
            </w:r>
          </w:p>
        </w:tc>
      </w:tr>
    </w:tbl>
    <w:p>
      <w:pPr>
        <w:pStyle w:val="Normal"/>
        <w:rPr/>
      </w:pPr>
      <w:r>
        <w:rPr/>
      </w:r>
    </w:p>
    <w:p>
      <w:pPr>
        <w:pStyle w:val="Normal"/>
        <w:spacing w:lineRule="exact" w:line="320" w:before="0" w:after="160"/>
        <w:rPr/>
      </w:pPr>
      <w:r>
        <w:drawing>
          <wp:anchor behindDoc="0" distT="0" distB="0" distL="0" distR="0" simplePos="0" locked="0" layoutInCell="0" allowOverlap="1" relativeHeight="5">
            <wp:simplePos x="0" y="0"/>
            <wp:positionH relativeFrom="column">
              <wp:posOffset>153670</wp:posOffset>
            </wp:positionH>
            <wp:positionV relativeFrom="paragraph">
              <wp:posOffset>-153035</wp:posOffset>
            </wp:positionV>
            <wp:extent cx="6120130" cy="151828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120130" cy="1518285"/>
                    </a:xfrm>
                    <a:prstGeom prst="rect">
                      <a:avLst/>
                    </a:prstGeom>
                    <a:noFill/>
                  </pic:spPr>
                </pic:pic>
              </a:graphicData>
            </a:graphic>
          </wp:anchor>
        </w:drawing>
      </w:r>
      <w:r>
        <w:rPr>
          <w:color w:val="3A3A3A"/>
          <w:sz w:val="22"/>
        </w:rPr>
        <w:t>Dans la liste déroulante en haut à gauche, sélectionner Simple pour commencer.</w:t>
      </w:r>
    </w:p>
    <w:p>
      <w:pPr>
        <w:pStyle w:val="Normal"/>
        <w:spacing w:lineRule="exact" w:line="320" w:before="0" w:after="160"/>
        <w:rPr>
          <w:color w:val="3A3A3A"/>
          <w:sz w:val="22"/>
        </w:rPr>
      </w:pPr>
      <w:r>
        <w:rPr>
          <w:color w:val="3A3A3A"/>
          <w:sz w:val="22"/>
        </w:rPr>
        <w:t>Le mode Simple masque les paramètres avancés et utilise les valeurs par défaut optimisées.</w:t>
      </w:r>
    </w:p>
    <w:p>
      <w:pPr>
        <w:pStyle w:val="Normal"/>
        <w:spacing w:lineRule="exact" w:line="320" w:before="0" w:after="160"/>
        <w:rPr>
          <w:color w:val="3A3A3A"/>
          <w:sz w:val="22"/>
        </w:rPr>
      </w:pPr>
      <w:r>
        <w:rPr>
          <w:color w:val="3A3A3A"/>
          <w:sz w:val="22"/>
        </w:rPr>
      </w:r>
    </w:p>
    <w:p>
      <w:pPr>
        <w:pStyle w:val="Heading2"/>
        <w:spacing w:before="280" w:after="0"/>
        <w:rPr/>
      </w:pPr>
      <w:bookmarkStart w:id="14" w:name="__RefHeading___Toc3905_1193836322"/>
      <w:bookmarkEnd w:id="14"/>
      <w:r>
        <w:rPr>
          <w:b/>
          <w:color w:val="FFFFFF"/>
          <w:sz w:val="2"/>
        </w:rPr>
        <w:t>Étape 3 — Sélectionner la source de données</w:t>
      </w:r>
    </w:p>
    <w:tbl>
      <w:tblPr>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c>
          <w:tcPr>
            <w:tcW w:w="4986" w:type="dxa"/>
            <w:tcBorders/>
            <w:shd w:fill="000091" w:val="clear"/>
          </w:tcPr>
          <w:p>
            <w:pPr>
              <w:pStyle w:val="Normal"/>
              <w:spacing w:before="40" w:after="40"/>
              <w:jc w:val="center"/>
              <w:rPr/>
            </w:pPr>
            <w:r>
              <w:rPr>
                <w:b/>
                <w:color w:val="FFFFFF"/>
                <w:sz w:val="36"/>
              </w:rPr>
              <w:t>3</w:t>
            </w:r>
          </w:p>
        </w:tc>
        <w:tc>
          <w:tcPr>
            <w:tcW w:w="4985" w:type="dxa"/>
            <w:tcBorders>
              <w:bottom w:val="single" w:sz="8" w:space="0" w:color="000091"/>
            </w:tcBorders>
          </w:tcPr>
          <w:p>
            <w:pPr>
              <w:pStyle w:val="Normal"/>
              <w:spacing w:before="160" w:after="200"/>
              <w:ind w:left="170"/>
              <w:rPr/>
            </w:pPr>
            <w:r>
              <w:rPr>
                <w:b/>
                <w:color w:val="000091"/>
                <w:sz w:val="30"/>
              </w:rPr>
              <w:t>Étape 3 — Sélectionner la source de données</w:t>
            </w:r>
          </w:p>
        </w:tc>
      </w:tr>
    </w:tbl>
    <w:p>
      <w:pPr>
        <w:pStyle w:val="Normal"/>
        <w:rPr/>
      </w:pPr>
      <w:r>
        <w:rPr/>
      </w:r>
    </w:p>
    <w:p>
      <w:pPr>
        <w:pStyle w:val="Normal"/>
        <w:spacing w:lineRule="exact" w:line="320" w:before="0" w:after="160"/>
        <w:rPr/>
      </w:pPr>
      <w:r>
        <w:rPr>
          <w:color w:val="3A3A3A"/>
          <w:sz w:val="22"/>
        </w:rPr>
        <w:t>Dans la section Sources, choisir :</w:t>
      </w:r>
    </w:p>
    <w:p>
      <w:pPr>
        <w:pStyle w:val="Normal"/>
        <w:spacing w:before="0" w:after="80"/>
        <w:ind w:hanging="283" w:left="850"/>
        <w:rPr/>
      </w:pPr>
      <w:r>
        <w:rPr>
          <w:color w:val="3A3A3A"/>
          <w:sz w:val="22"/>
        </w:rPr>
        <w:t xml:space="preserve">•  </w:t>
      </w:r>
      <w:r>
        <w:rPr>
          <w:color w:val="3A3A3A"/>
          <w:sz w:val="22"/>
        </w:rPr>
        <w:t>Mode : ign_laz</w:t>
      </w:r>
    </w:p>
    <w:p>
      <w:pPr>
        <w:pStyle w:val="Normal"/>
        <w:spacing w:before="0" w:after="80"/>
        <w:ind w:hanging="283" w:left="850"/>
        <w:rPr/>
      </w:pPr>
      <w:r>
        <w:rPr>
          <w:color w:val="3A3A3A"/>
          <w:sz w:val="22"/>
        </w:rPr>
        <w:t xml:space="preserve">•  </w:t>
      </w:r>
      <w:r>
        <w:rPr>
          <w:color w:val="3A3A3A"/>
          <w:sz w:val="22"/>
        </w:rPr>
        <w:t>Zone d'étude : sélectionner un fichier vectoriel (.shp, .geojson) ou un fichier .txt de dalles</w:t>
      </w:r>
    </w:p>
    <w:p>
      <w:pPr>
        <w:pStyle w:val="Normal"/>
        <w:spacing w:lineRule="exact" w:line="320" w:before="0" w:after="160"/>
        <w:rPr>
          <w:color w:val="3A3A3A"/>
          <w:sz w:val="22"/>
        </w:rPr>
      </w:pPr>
      <w:r>
        <w:rPr>
          <w:color w:val="3A3A3A"/>
          <w:sz w:val="22"/>
        </w:rPr>
        <w:t>Le fichier vectoriel doit délimiter la zone à traiter (polygone en n'importe quelle projection, le plugin se charge de la reprojection).</w:t>
      </w:r>
    </w:p>
    <w:p>
      <w:pPr>
        <w:pStyle w:val="Normal"/>
        <w:spacing w:lineRule="exact" w:line="320" w:before="0" w:after="160"/>
        <w:rPr>
          <w:i/>
          <w:i/>
          <w:color w:val="666666"/>
          <w:sz w:val="19"/>
        </w:rPr>
      </w:pPr>
      <w:r>
        <w:rPr>
          <w:i/>
          <w:color w:val="666666"/>
          <w:sz w:val="19"/>
        </w:rPr>
      </w:r>
    </w:p>
    <w:p>
      <w:pPr>
        <w:pStyle w:val="Normal"/>
        <w:spacing w:lineRule="exact" w:line="320" w:before="0" w:after="160"/>
        <w:rPr>
          <w:i/>
          <w:i/>
          <w:color w:val="666666"/>
          <w:sz w:val="19"/>
        </w:rPr>
      </w:pPr>
      <w:r>
        <w:rPr>
          <w:i/>
          <w:color w:val="666666"/>
          <w:sz w:val="19"/>
        </w:rPr>
      </w:r>
    </w:p>
    <w:p>
      <w:pPr>
        <w:pStyle w:val="Normal"/>
        <w:spacing w:lineRule="exact" w:line="320" w:before="0" w:after="160"/>
        <w:rPr>
          <w:i/>
          <w:i/>
          <w:color w:val="666666"/>
          <w:sz w:val="19"/>
        </w:rPr>
      </w:pPr>
      <w:r>
        <w:rPr>
          <w:i/>
          <w:color w:val="666666"/>
          <w:sz w:val="19"/>
        </w:rPr>
      </w:r>
    </w:p>
    <w:p>
      <w:pPr>
        <w:pStyle w:val="Normal"/>
        <w:spacing w:lineRule="exact" w:line="320" w:before="0" w:after="160"/>
        <w:rPr>
          <w:i/>
          <w:i/>
          <w:color w:val="666666"/>
          <w:sz w:val="19"/>
        </w:rPr>
      </w:pPr>
      <w:r>
        <w:rPr>
          <w:i/>
          <w:color w:val="666666"/>
          <w:sz w:val="19"/>
        </w:rPr>
      </w:r>
    </w:p>
    <w:p>
      <w:pPr>
        <w:pStyle w:val="Normal"/>
        <w:spacing w:lineRule="exact" w:line="320" w:before="0" w:after="160"/>
        <w:rPr>
          <w:i/>
          <w:i/>
          <w:color w:val="666666"/>
          <w:sz w:val="19"/>
        </w:rPr>
      </w:pPr>
      <w:r>
        <w:rPr>
          <w:i/>
          <w:color w:val="666666"/>
          <w:sz w:val="19"/>
        </w:rPr>
      </w:r>
    </w:p>
    <w:p>
      <w:pPr>
        <w:pStyle w:val="Heading2"/>
        <w:spacing w:before="280" w:after="0"/>
        <w:rPr/>
      </w:pPr>
      <w:bookmarkStart w:id="15" w:name="__RefHeading___Toc3907_1193836322"/>
      <w:bookmarkEnd w:id="15"/>
      <w:r>
        <w:rPr>
          <w:b/>
          <w:color w:val="FFFFFF"/>
          <w:sz w:val="2"/>
        </w:rPr>
        <w:t>Étape 4 — Choisir le dossier de sortie</w:t>
      </w:r>
    </w:p>
    <w:tbl>
      <w:tblPr>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c>
          <w:tcPr>
            <w:tcW w:w="4986" w:type="dxa"/>
            <w:tcBorders/>
            <w:shd w:fill="000091" w:val="clear"/>
          </w:tcPr>
          <w:p>
            <w:pPr>
              <w:pStyle w:val="Normal"/>
              <w:spacing w:before="40" w:after="40"/>
              <w:jc w:val="center"/>
              <w:rPr/>
            </w:pPr>
            <w:r>
              <w:rPr>
                <w:b/>
                <w:color w:val="FFFFFF"/>
                <w:sz w:val="36"/>
              </w:rPr>
              <w:t>4</w:t>
            </w:r>
          </w:p>
        </w:tc>
        <w:tc>
          <w:tcPr>
            <w:tcW w:w="4985" w:type="dxa"/>
            <w:tcBorders>
              <w:bottom w:val="single" w:sz="8" w:space="0" w:color="000091"/>
            </w:tcBorders>
          </w:tcPr>
          <w:p>
            <w:pPr>
              <w:pStyle w:val="Normal"/>
              <w:spacing w:before="160" w:after="200"/>
              <w:ind w:left="170"/>
              <w:rPr/>
            </w:pPr>
            <w:r>
              <w:rPr>
                <w:b/>
                <w:color w:val="000091"/>
                <w:sz w:val="30"/>
              </w:rPr>
              <w:t>Étape 4 — Choisir le dossier de sortie</w:t>
            </w:r>
          </w:p>
        </w:tc>
      </w:tr>
    </w:tbl>
    <w:p>
      <w:pPr>
        <w:pStyle w:val="Normal"/>
        <w:rPr/>
      </w:pPr>
      <w:r>
        <w:rPr/>
        <w:drawing>
          <wp:anchor behindDoc="0" distT="0" distB="0" distL="0" distR="0" simplePos="0" locked="0" layoutInCell="0" allowOverlap="1" relativeHeight="7">
            <wp:simplePos x="0" y="0"/>
            <wp:positionH relativeFrom="column">
              <wp:posOffset>80010</wp:posOffset>
            </wp:positionH>
            <wp:positionV relativeFrom="paragraph">
              <wp:posOffset>187960</wp:posOffset>
            </wp:positionV>
            <wp:extent cx="6120130" cy="105918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20130" cy="1059180"/>
                    </a:xfrm>
                    <a:prstGeom prst="rect">
                      <a:avLst/>
                    </a:prstGeom>
                    <a:noFill/>
                  </pic:spPr>
                </pic:pic>
              </a:graphicData>
            </a:graphic>
          </wp:anchor>
        </w:drawing>
      </w:r>
    </w:p>
    <w:p>
      <w:pPr>
        <w:pStyle w:val="Normal"/>
        <w:spacing w:lineRule="exact" w:line="320" w:before="0" w:after="160"/>
        <w:rPr>
          <w:color w:val="3A3A3A"/>
          <w:sz w:val="22"/>
        </w:rPr>
      </w:pPr>
      <w:r>
        <w:rPr>
          <w:color w:val="3A3A3A"/>
          <w:sz w:val="22"/>
        </w:rPr>
      </w:r>
    </w:p>
    <w:p>
      <w:pPr>
        <w:pStyle w:val="Normal"/>
        <w:spacing w:lineRule="exact" w:line="320" w:before="0" w:after="160"/>
        <w:rPr>
          <w:color w:val="3A3A3A"/>
          <w:sz w:val="22"/>
        </w:rPr>
      </w:pPr>
      <w:r>
        <w:rPr>
          <w:color w:val="3A3A3A"/>
          <w:sz w:val="22"/>
        </w:rPr>
        <w:t>Cliquer sur le bouton de sélection du Dossier de sortie et choisir un dossier vide sur un disque avec suffisamment d'espace</w:t>
      </w:r>
    </w:p>
    <w:p>
      <w:pPr>
        <w:pStyle w:val="Heading2"/>
        <w:spacing w:before="280" w:after="0"/>
        <w:rPr/>
      </w:pPr>
      <w:bookmarkStart w:id="16" w:name="__RefHeading___Toc3909_1193836322"/>
      <w:bookmarkEnd w:id="16"/>
      <w:r>
        <w:rPr>
          <w:b/>
          <w:color w:val="FFFFFF"/>
          <w:sz w:val="2"/>
        </w:rPr>
        <w:t>Étape 5 — Sélectionner les produits à générer</w:t>
      </w:r>
    </w:p>
    <w:tbl>
      <w:tblPr>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c>
          <w:tcPr>
            <w:tcW w:w="4986" w:type="dxa"/>
            <w:tcBorders/>
            <w:shd w:fill="000091" w:val="clear"/>
          </w:tcPr>
          <w:p>
            <w:pPr>
              <w:pStyle w:val="Normal"/>
              <w:spacing w:before="40" w:after="40"/>
              <w:jc w:val="center"/>
              <w:rPr/>
            </w:pPr>
            <w:r>
              <w:rPr>
                <w:b/>
                <w:color w:val="FFFFFF"/>
                <w:sz w:val="36"/>
              </w:rPr>
              <w:t>5</w:t>
            </w:r>
          </w:p>
        </w:tc>
        <w:tc>
          <w:tcPr>
            <w:tcW w:w="4985" w:type="dxa"/>
            <w:tcBorders>
              <w:bottom w:val="single" w:sz="8" w:space="0" w:color="000091"/>
            </w:tcBorders>
          </w:tcPr>
          <w:p>
            <w:pPr>
              <w:pStyle w:val="Normal"/>
              <w:spacing w:before="160" w:after="200"/>
              <w:ind w:left="170"/>
              <w:rPr/>
            </w:pPr>
            <w:r>
              <w:rPr>
                <w:b/>
                <w:color w:val="000091"/>
                <w:sz w:val="30"/>
              </w:rPr>
              <w:t>Étape 5 — Sélectionner les produits à générer</w:t>
            </w:r>
          </w:p>
        </w:tc>
      </w:tr>
    </w:tbl>
    <w:p>
      <w:pPr>
        <w:pStyle w:val="Normal"/>
        <w:rPr/>
      </w:pPr>
      <w:r>
        <w:rPr/>
      </w:r>
    </w:p>
    <w:p>
      <w:pPr>
        <w:pStyle w:val="Normal"/>
        <w:spacing w:lineRule="exact" w:line="320" w:before="0" w:after="160"/>
        <w:rPr>
          <w:color w:val="3A3A3A"/>
          <w:sz w:val="22"/>
        </w:rPr>
      </w:pPr>
      <w:r>
        <w:rPr>
          <w:color w:val="3A3A3A"/>
          <w:sz w:val="22"/>
        </w:rPr>
        <w:t>Dans la section MNT et Indices de visualisation, cocher les produits souhaités :</w:t>
      </w:r>
    </w:p>
    <w:p>
      <w:pPr>
        <w:pStyle w:val="Normal"/>
        <w:spacing w:lineRule="exact" w:line="320" w:before="0" w:after="160"/>
        <w:rPr>
          <w:color w:val="3A3A3A"/>
          <w:sz w:val="22"/>
        </w:rPr>
      </w:pPr>
      <w:r>
        <w:rPr>
          <w:color w:val="3A3A3A"/>
          <w:sz w:val="22"/>
        </w:rPr>
        <w:drawing>
          <wp:anchor behindDoc="0" distT="0" distB="0" distL="0" distR="0" simplePos="0" locked="0" layoutInCell="0" allowOverlap="1" relativeHeight="8">
            <wp:simplePos x="0" y="0"/>
            <wp:positionH relativeFrom="column">
              <wp:posOffset>26035</wp:posOffset>
            </wp:positionH>
            <wp:positionV relativeFrom="paragraph">
              <wp:posOffset>136525</wp:posOffset>
            </wp:positionV>
            <wp:extent cx="6120130" cy="52070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120130" cy="520700"/>
                    </a:xfrm>
                    <a:prstGeom prst="rect">
                      <a:avLst/>
                    </a:prstGeom>
                    <a:noFill/>
                  </pic:spPr>
                </pic:pic>
              </a:graphicData>
            </a:graphic>
          </wp:anchor>
        </w:drawing>
      </w:r>
    </w:p>
    <w:tbl>
      <w:tblPr>
        <w:tblW w:w="993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284"/>
        <w:gridCol w:w="6646"/>
      </w:tblGrid>
      <w:tr>
        <w:trPr/>
        <w:tc>
          <w:tcPr>
            <w:tcW w:w="328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Produit</w:t>
            </w:r>
          </w:p>
        </w:tc>
        <w:tc>
          <w:tcPr>
            <w:tcW w:w="6646"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Description</w:t>
            </w:r>
          </w:p>
        </w:tc>
      </w:tr>
      <w:tr>
        <w:trPr/>
        <w:tc>
          <w:tcPr>
            <w:tcW w:w="328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b/>
                <w:bCs/>
              </w:rPr>
            </w:pPr>
            <w:r>
              <w:rPr>
                <w:b/>
                <w:bCs/>
                <w:color w:val="3A3A3A"/>
                <w:sz w:val="20"/>
              </w:rPr>
              <w:t>MNT</w:t>
            </w:r>
          </w:p>
        </w:tc>
        <w:tc>
          <w:tcPr>
            <w:tcW w:w="664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b/>
                <w:bCs/>
                <w:color w:val="3A3A3A"/>
                <w:sz w:val="20"/>
              </w:rPr>
              <w:t>Modèle Numérique de Terrain</w:t>
            </w:r>
            <w:r>
              <w:rPr>
                <w:color w:val="3A3A3A"/>
                <w:sz w:val="20"/>
              </w:rPr>
              <w:t xml:space="preserve"> : Représentation raster des altitudes du terrain</w:t>
            </w:r>
          </w:p>
        </w:tc>
      </w:tr>
      <w:tr>
        <w:trPr/>
        <w:tc>
          <w:tcPr>
            <w:tcW w:w="328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b/>
                <w:bCs/>
              </w:rPr>
            </w:pPr>
            <w:r>
              <w:rPr>
                <w:b/>
                <w:bCs/>
                <w:color w:val="3A3A3A"/>
                <w:sz w:val="20"/>
              </w:rPr>
              <w:t>M-HS</w:t>
            </w:r>
          </w:p>
        </w:tc>
        <w:tc>
          <w:tcPr>
            <w:tcW w:w="664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b/>
                <w:bCs/>
                <w:color w:val="3A3A3A"/>
                <w:sz w:val="20"/>
              </w:rPr>
              <w:t>Hillshade multi-directionnel</w:t>
            </w:r>
            <w:r>
              <w:rPr>
                <w:color w:val="3A3A3A"/>
                <w:sz w:val="20"/>
              </w:rPr>
              <w:t>: Ombrage du relief simulé depuis plusieurs directions lumineuses</w:t>
            </w:r>
          </w:p>
        </w:tc>
      </w:tr>
      <w:tr>
        <w:trPr/>
        <w:tc>
          <w:tcPr>
            <w:tcW w:w="328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b/>
                <w:bCs/>
              </w:rPr>
            </w:pPr>
            <w:r>
              <w:rPr>
                <w:b/>
                <w:bCs/>
                <w:color w:val="3A3A3A"/>
                <w:sz w:val="20"/>
              </w:rPr>
              <w:t>SVF</w:t>
            </w:r>
          </w:p>
        </w:tc>
        <w:tc>
          <w:tcPr>
            <w:tcW w:w="664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b/>
                <w:bCs/>
                <w:color w:val="3A3A3A"/>
                <w:sz w:val="20"/>
              </w:rPr>
              <w:t>Sky View Factor</w:t>
            </w:r>
            <w:r>
              <w:rPr>
                <w:color w:val="3A3A3A"/>
                <w:sz w:val="20"/>
              </w:rPr>
              <w:t>: Mesure de la portion de ciel visible depuis chaque point du terrain</w:t>
            </w:r>
          </w:p>
        </w:tc>
      </w:tr>
      <w:tr>
        <w:trPr/>
        <w:tc>
          <w:tcPr>
            <w:tcW w:w="328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b/>
                <w:bCs/>
              </w:rPr>
            </w:pPr>
            <w:r>
              <w:rPr>
                <w:b/>
                <w:bCs/>
                <w:color w:val="3A3A3A"/>
                <w:sz w:val="20"/>
              </w:rPr>
              <w:t>LD</w:t>
            </w:r>
          </w:p>
        </w:tc>
        <w:tc>
          <w:tcPr>
            <w:tcW w:w="664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b/>
                <w:bCs/>
                <w:color w:val="3A3A3A"/>
                <w:sz w:val="20"/>
              </w:rPr>
              <w:t>Local Dominance</w:t>
            </w:r>
            <w:r>
              <w:rPr>
                <w:color w:val="3A3A3A"/>
                <w:sz w:val="20"/>
              </w:rPr>
              <w:t>: Mise en valeur des éléments dominants par rapport à leur environnement local</w:t>
            </w:r>
          </w:p>
        </w:tc>
      </w:tr>
      <w:tr>
        <w:trPr/>
        <w:tc>
          <w:tcPr>
            <w:tcW w:w="328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b/>
                <w:bCs/>
              </w:rPr>
            </w:pPr>
            <w:r>
              <w:rPr>
                <w:b/>
                <w:bCs/>
                <w:color w:val="3A3A3A"/>
                <w:sz w:val="20"/>
              </w:rPr>
              <w:t>SLO</w:t>
            </w:r>
          </w:p>
        </w:tc>
        <w:tc>
          <w:tcPr>
            <w:tcW w:w="664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b/>
                <w:bCs/>
                <w:color w:val="3A3A3A"/>
                <w:sz w:val="20"/>
              </w:rPr>
              <w:t>Pente (Slope)</w:t>
            </w:r>
            <w:r>
              <w:rPr>
                <w:color w:val="3A3A3A"/>
                <w:sz w:val="20"/>
              </w:rPr>
              <w:t>: Calcul de l'inclinaison de la surface en chaque point</w:t>
            </w:r>
          </w:p>
        </w:tc>
      </w:tr>
      <w:tr>
        <w:trPr/>
        <w:tc>
          <w:tcPr>
            <w:tcW w:w="328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b/>
                <w:bCs/>
              </w:rPr>
            </w:pPr>
            <w:r>
              <w:rPr>
                <w:b/>
                <w:bCs/>
                <w:color w:val="3A3A3A"/>
                <w:sz w:val="20"/>
              </w:rPr>
              <w:t>SLRM</w:t>
            </w:r>
          </w:p>
        </w:tc>
        <w:tc>
          <w:tcPr>
            <w:tcW w:w="664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b/>
                <w:bCs/>
                <w:color w:val="3A3A3A"/>
                <w:sz w:val="20"/>
              </w:rPr>
              <w:t>Simple Local Relief Model</w:t>
            </w:r>
            <w:r>
              <w:rPr>
                <w:color w:val="3A3A3A"/>
                <w:sz w:val="20"/>
              </w:rPr>
              <w:t>: Visualisation des micro-reliefs locaux après suppression des tendances générales</w:t>
            </w:r>
          </w:p>
        </w:tc>
      </w:tr>
      <w:tr>
        <w:trPr/>
        <w:tc>
          <w:tcPr>
            <w:tcW w:w="328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b/>
                <w:bCs/>
              </w:rPr>
            </w:pPr>
            <w:r>
              <w:rPr>
                <w:b/>
                <w:bCs/>
                <w:color w:val="3A3A3A"/>
                <w:sz w:val="20"/>
              </w:rPr>
              <w:t>VAT</w:t>
            </w:r>
          </w:p>
        </w:tc>
        <w:tc>
          <w:tcPr>
            <w:tcW w:w="664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b/>
                <w:bCs/>
                <w:color w:val="3A3A3A"/>
                <w:sz w:val="20"/>
              </w:rPr>
              <w:t>Visualisation Archéologique Totale</w:t>
            </w:r>
            <w:r>
              <w:rPr>
                <w:color w:val="3A3A3A"/>
                <w:sz w:val="20"/>
              </w:rPr>
              <w:t>: Combinaison de plusieurs visualisations pour l'analyse archéologique</w:t>
            </w:r>
          </w:p>
        </w:tc>
      </w:tr>
      <w:tr>
        <w:trPr/>
        <w:tc>
          <w:tcPr>
            <w:tcW w:w="328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b/>
                <w:bCs/>
              </w:rPr>
            </w:pPr>
            <w:r>
              <w:rPr>
                <w:b/>
                <w:bCs/>
                <w:color w:val="3A3A3A"/>
                <w:sz w:val="20"/>
              </w:rPr>
              <w:t>DENSITE</w:t>
            </w:r>
          </w:p>
        </w:tc>
        <w:tc>
          <w:tcPr>
            <w:tcW w:w="664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b/>
                <w:bCs/>
                <w:color w:val="3A3A3A"/>
                <w:sz w:val="20"/>
              </w:rPr>
              <w:t>Carte de densité de points</w:t>
            </w:r>
            <w:r>
              <w:rPr>
                <w:color w:val="3A3A3A"/>
                <w:sz w:val="20"/>
              </w:rPr>
              <w:t>: Représentation de la concentration de points par unité de surface</w:t>
            </w:r>
          </w:p>
        </w:tc>
      </w:tr>
    </w:tbl>
    <w:p>
      <w:pPr>
        <w:pStyle w:val="Normal"/>
        <w:rPr/>
      </w:pPr>
      <w:r>
        <w:rPr/>
      </w:r>
    </w:p>
    <w:p>
      <w:pPr>
        <w:pStyle w:val="Heading2"/>
        <w:spacing w:before="280" w:after="0"/>
        <w:rPr/>
      </w:pPr>
      <w:bookmarkStart w:id="17" w:name="__RefHeading___Toc3911_1193836322"/>
      <w:bookmarkEnd w:id="17"/>
      <w:r>
        <w:rPr>
          <w:b/>
          <w:color w:val="FFFFFF"/>
          <w:sz w:val="2"/>
        </w:rPr>
        <w:t>Étape 6 — Activer la Computer Vision (optionnel)</w:t>
      </w:r>
    </w:p>
    <w:tbl>
      <w:tblPr>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c>
          <w:tcPr>
            <w:tcW w:w="4986" w:type="dxa"/>
            <w:tcBorders/>
            <w:shd w:fill="000091" w:val="clear"/>
          </w:tcPr>
          <w:p>
            <w:pPr>
              <w:pStyle w:val="Normal"/>
              <w:spacing w:before="40" w:after="40"/>
              <w:jc w:val="center"/>
              <w:rPr/>
            </w:pPr>
            <w:r>
              <w:rPr>
                <w:b/>
                <w:color w:val="FFFFFF"/>
                <w:sz w:val="36"/>
              </w:rPr>
              <w:t>6</w:t>
            </w:r>
          </w:p>
        </w:tc>
        <w:tc>
          <w:tcPr>
            <w:tcW w:w="4985" w:type="dxa"/>
            <w:tcBorders>
              <w:bottom w:val="single" w:sz="8" w:space="0" w:color="000091"/>
            </w:tcBorders>
          </w:tcPr>
          <w:p>
            <w:pPr>
              <w:pStyle w:val="Normal"/>
              <w:spacing w:before="160" w:after="200"/>
              <w:ind w:left="170"/>
              <w:rPr/>
            </w:pPr>
            <w:r>
              <w:rPr>
                <w:b/>
                <w:color w:val="000091"/>
                <w:sz w:val="30"/>
              </w:rPr>
              <w:t>Étape 6 — Activer la Computer Vision (optionnel)</w:t>
            </w:r>
          </w:p>
        </w:tc>
      </w:tr>
    </w:tbl>
    <w:p>
      <w:pPr>
        <w:pStyle w:val="Normal"/>
        <w:rPr/>
      </w:pPr>
      <w:r>
        <w:rPr/>
      </w:r>
    </w:p>
    <w:p>
      <w:pPr>
        <w:pStyle w:val="Normal"/>
        <w:spacing w:lineRule="exact" w:line="320" w:before="0" w:after="160"/>
        <w:rPr/>
      </w:pPr>
      <w:r>
        <w:rPr>
          <w:color w:val="3A3A3A"/>
          <w:sz w:val="22"/>
        </w:rPr>
        <w:t>Dans la section Détection automatique (Computer Vision) :</w:t>
      </w:r>
    </w:p>
    <w:p>
      <w:pPr>
        <w:pStyle w:val="Normal"/>
        <w:spacing w:before="0" w:after="80"/>
        <w:ind w:hanging="283" w:left="850"/>
        <w:rPr/>
      </w:pPr>
      <w:r>
        <w:rPr>
          <w:color w:val="3A3A3A"/>
          <w:sz w:val="22"/>
        </w:rPr>
        <w:t xml:space="preserve">•  </w:t>
      </w:r>
      <w:r>
        <w:rPr>
          <w:color w:val="3A3A3A"/>
          <w:sz w:val="22"/>
        </w:rPr>
        <w:t>Cocher Activer la Computer Vision</w:t>
      </w:r>
    </w:p>
    <w:p>
      <w:pPr>
        <w:pStyle w:val="Normal"/>
        <w:spacing w:before="0" w:after="80"/>
        <w:ind w:hanging="283" w:left="850"/>
        <w:rPr>
          <w:color w:val="3A3A3A"/>
          <w:sz w:val="22"/>
        </w:rPr>
      </w:pPr>
      <w:r>
        <w:rPr>
          <w:color w:val="3A3A3A"/>
          <w:sz w:val="22"/>
        </w:rPr>
        <w:t xml:space="preserve">•  </w:t>
      </w:r>
      <w:r>
        <w:rPr>
          <w:color w:val="3A3A3A"/>
          <w:sz w:val="22"/>
        </w:rPr>
        <w:t>Sélectionner un modèle dans la liste déroulante</w:t>
      </w:r>
    </w:p>
    <w:p>
      <w:pPr>
        <w:pStyle w:val="Normal"/>
        <w:spacing w:before="0" w:after="80"/>
        <w:ind w:hanging="283" w:left="850"/>
        <w:rPr>
          <w:color w:val="3A3A3A"/>
          <w:sz w:val="22"/>
        </w:rPr>
      </w:pPr>
      <w:r>
        <w:rPr>
          <w:color w:val="3A3A3A"/>
          <w:sz w:val="22"/>
        </w:rPr>
        <w:drawing>
          <wp:anchor behindDoc="0" distT="0" distB="0" distL="0" distR="0" simplePos="0" locked="0" layoutInCell="0" allowOverlap="1" relativeHeight="13">
            <wp:simplePos x="0" y="0"/>
            <wp:positionH relativeFrom="column">
              <wp:posOffset>66040</wp:posOffset>
            </wp:positionH>
            <wp:positionV relativeFrom="paragraph">
              <wp:posOffset>157480</wp:posOffset>
            </wp:positionV>
            <wp:extent cx="6120130" cy="1423670"/>
            <wp:effectExtent l="0" t="0" r="0" b="0"/>
            <wp:wrapSquare wrapText="largest"/>
            <wp:docPr id="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
                    <pic:cNvPicPr>
                      <a:picLocks noChangeAspect="1" noChangeArrowheads="1"/>
                    </pic:cNvPicPr>
                  </pic:nvPicPr>
                  <pic:blipFill>
                    <a:blip r:embed="rId9"/>
                    <a:stretch>
                      <a:fillRect/>
                    </a:stretch>
                  </pic:blipFill>
                  <pic:spPr bwMode="auto">
                    <a:xfrm>
                      <a:off x="0" y="0"/>
                      <a:ext cx="6120130" cy="1423670"/>
                    </a:xfrm>
                    <a:prstGeom prst="rect">
                      <a:avLst/>
                    </a:prstGeom>
                    <a:noFill/>
                  </pic:spPr>
                </pic:pic>
              </a:graphicData>
            </a:graphic>
          </wp:anchor>
        </w:drawing>
      </w:r>
    </w:p>
    <w:p>
      <w:pPr>
        <w:pStyle w:val="Normal"/>
        <w:spacing w:before="0" w:after="80"/>
        <w:ind w:hanging="283" w:left="850"/>
        <w:rPr>
          <w:color w:val="3A3A3A"/>
          <w:sz w:val="22"/>
        </w:rPr>
      </w:pPr>
      <w:r>
        <w:rPr>
          <w:color w:val="3A3A3A"/>
          <w:sz w:val="22"/>
        </w:rPr>
        <w:t xml:space="preserve">•  </w:t>
      </w:r>
      <w:r>
        <w:rPr>
          <w:color w:val="3A3A3A"/>
          <w:sz w:val="22"/>
        </w:rPr>
        <w:t>Les modèles sont souvent entraînés à détecter plusieurs entités archéologiques différentes. Les détections peuvent prendre la forme de boîtes englobantes, ou segmentions (polygones).</w:t>
        <w:br/>
        <w:t>Choisissez, pour chaque modèle les classes à détecter :</w:t>
      </w:r>
    </w:p>
    <w:p>
      <w:pPr>
        <w:pStyle w:val="Normal"/>
        <w:spacing w:before="0" w:after="80"/>
        <w:ind w:hanging="283" w:left="850"/>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849620" cy="1572895"/>
            <wp:effectExtent l="0" t="0" r="0" b="0"/>
            <wp:wrapSquare wrapText="largest"/>
            <wp:docPr id="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 descr=""/>
                    <pic:cNvPicPr>
                      <a:picLocks noChangeAspect="1" noChangeArrowheads="1"/>
                    </pic:cNvPicPr>
                  </pic:nvPicPr>
                  <pic:blipFill>
                    <a:blip r:embed="rId10"/>
                    <a:stretch>
                      <a:fillRect/>
                    </a:stretch>
                  </pic:blipFill>
                  <pic:spPr bwMode="auto">
                    <a:xfrm>
                      <a:off x="0" y="0"/>
                      <a:ext cx="5849620" cy="1572895"/>
                    </a:xfrm>
                    <a:prstGeom prst="rect">
                      <a:avLst/>
                    </a:prstGeom>
                    <a:noFill/>
                  </pic:spPr>
                </pic:pic>
              </a:graphicData>
            </a:graphic>
          </wp:anchor>
        </w:drawing>
      </w:r>
    </w:p>
    <w:p>
      <w:pPr>
        <w:pStyle w:val="Normal"/>
        <w:spacing w:before="0" w:after="0"/>
        <w:rPr/>
      </w:pPr>
      <w:r>
        <w:drawing>
          <wp:anchor behindDoc="0" distT="0" distB="0" distL="0" distR="0" simplePos="0" locked="0" layoutInCell="0" allowOverlap="1" relativeHeight="9">
            <wp:simplePos x="0" y="0"/>
            <wp:positionH relativeFrom="column">
              <wp:posOffset>2145665</wp:posOffset>
            </wp:positionH>
            <wp:positionV relativeFrom="paragraph">
              <wp:posOffset>1839595</wp:posOffset>
            </wp:positionV>
            <wp:extent cx="248285" cy="31496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rcRect l="18322" t="11871" r="0" b="0"/>
                    <a:stretch>
                      <a:fillRect/>
                    </a:stretch>
                  </pic:blipFill>
                  <pic:spPr bwMode="auto">
                    <a:xfrm>
                      <a:off x="0" y="0"/>
                      <a:ext cx="248285" cy="314960"/>
                    </a:xfrm>
                    <a:prstGeom prst="rect">
                      <a:avLst/>
                    </a:prstGeom>
                    <a:noFill/>
                  </pic:spPr>
                </pic:pic>
              </a:graphicData>
            </a:graphic>
          </wp:anchor>
        </w:drawing>
      </w:r>
      <w:r>
        <w:rPr/>
        <w:t xml:space="preserve">Les modèles sont spécifiquement entraînés sur des Indices précis. Pour connaître l’indice adéquat à un modèle, il suffit de cliquer sur </w:t>
      </w:r>
    </w:p>
    <w:p>
      <w:pPr>
        <w:pStyle w:val="BodyText"/>
        <w:spacing w:before="0" w:after="0"/>
        <w:rPr/>
      </w:pPr>
      <w:r>
        <w:rPr/>
      </w:r>
    </w:p>
    <w:p>
      <w:pPr>
        <w:pStyle w:val="BodyText"/>
        <w:spacing w:before="0" w:after="0"/>
        <w:rPr/>
      </w:pPr>
      <w:r>
        <w:rPr/>
        <w:t xml:space="preserve">exemple avec le modèle </w:t>
      </w:r>
      <w:r>
        <w:rPr>
          <w:b/>
          <w:bCs/>
        </w:rPr>
        <w:t>run_rf_detr_1 </w:t>
      </w:r>
      <w:r>
        <w:rPr>
          <w:b w:val="false"/>
          <w:bCs w:val="false"/>
        </w:rPr>
        <w:t>:</w:t>
      </w:r>
    </w:p>
    <w:p>
      <w:pPr>
        <w:pStyle w:val="BodyText"/>
        <w:spacing w:before="0" w:after="0"/>
        <w:rPr>
          <w:b w:val="false"/>
          <w:bCs w:val="false"/>
        </w:rPr>
      </w:pPr>
      <w:r>
        <w:rPr>
          <w:b w:val="false"/>
          <w:bCs w:val="false"/>
        </w:rPr>
        <w:drawing>
          <wp:anchor behindDoc="0" distT="0" distB="0" distL="0" distR="0" simplePos="0" locked="0" layoutInCell="0" allowOverlap="1" relativeHeight="10">
            <wp:simplePos x="0" y="0"/>
            <wp:positionH relativeFrom="column">
              <wp:posOffset>725805</wp:posOffset>
            </wp:positionH>
            <wp:positionV relativeFrom="paragraph">
              <wp:posOffset>116840</wp:posOffset>
            </wp:positionV>
            <wp:extent cx="248285" cy="314960"/>
            <wp:effectExtent l="0" t="0" r="0" b="0"/>
            <wp:wrapSquare wrapText="largest"/>
            <wp:docPr id="11" name="Image10 C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Copie 1" descr=""/>
                    <pic:cNvPicPr>
                      <a:picLocks noChangeAspect="1" noChangeArrowheads="1"/>
                    </pic:cNvPicPr>
                  </pic:nvPicPr>
                  <pic:blipFill>
                    <a:blip r:embed="rId12"/>
                    <a:srcRect l="18322" t="11871" r="0" b="0"/>
                    <a:stretch>
                      <a:fillRect/>
                    </a:stretch>
                  </pic:blipFill>
                  <pic:spPr bwMode="auto">
                    <a:xfrm>
                      <a:off x="0" y="0"/>
                      <a:ext cx="248285" cy="314960"/>
                    </a:xfrm>
                    <a:prstGeom prst="rect">
                      <a:avLst/>
                    </a:prstGeom>
                    <a:noFill/>
                  </pic:spPr>
                </pic:pic>
              </a:graphicData>
            </a:graphic>
          </wp:anchor>
        </w:drawing>
      </w:r>
    </w:p>
    <w:p>
      <w:pPr>
        <w:pStyle w:val="BodyText"/>
        <w:spacing w:before="0" w:after="0"/>
        <w:rPr/>
      </w:pPr>
      <w:r>
        <w:rPr/>
        <w:t>cliquer sur affiche :</w:t>
      </w:r>
    </w:p>
    <w:p>
      <w:pPr>
        <w:pStyle w:val="Normal"/>
        <w:spacing w:before="0" w:after="80"/>
        <w:ind w:hanging="283" w:left="850"/>
        <w:rPr>
          <w:i/>
          <w:i/>
          <w:color w:val="666666"/>
          <w:sz w:val="19"/>
        </w:rPr>
      </w:pPr>
      <w:r>
        <w:rPr>
          <w:i/>
          <w:color w:val="666666"/>
          <w:sz w:val="19"/>
        </w:rPr>
        <w:drawing>
          <wp:anchor behindDoc="0" distT="0" distB="0" distL="0" distR="0" simplePos="0" locked="0" layoutInCell="0" allowOverlap="1" relativeHeight="11">
            <wp:simplePos x="0" y="0"/>
            <wp:positionH relativeFrom="column">
              <wp:posOffset>234315</wp:posOffset>
            </wp:positionH>
            <wp:positionV relativeFrom="paragraph">
              <wp:posOffset>635</wp:posOffset>
            </wp:positionV>
            <wp:extent cx="6120130" cy="3846830"/>
            <wp:effectExtent l="0" t="0" r="0" b="0"/>
            <wp:wrapSquare wrapText="largest"/>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13"/>
                    <a:stretch>
                      <a:fillRect/>
                    </a:stretch>
                  </pic:blipFill>
                  <pic:spPr bwMode="auto">
                    <a:xfrm>
                      <a:off x="0" y="0"/>
                      <a:ext cx="6120130" cy="3846830"/>
                    </a:xfrm>
                    <a:prstGeom prst="rect">
                      <a:avLst/>
                    </a:prstGeom>
                    <a:noFill/>
                  </pic:spPr>
                </pic:pic>
              </a:graphicData>
            </a:graphic>
          </wp:anchor>
        </w:drawing>
      </w:r>
    </w:p>
    <w:p>
      <w:pPr>
        <w:pStyle w:val="BodyText"/>
        <w:rPr/>
      </w:pPr>
      <w:r>
        <w:rPr/>
        <w:t xml:space="preserve">On peut Lire : « Indice RVT d’entraînement : </w:t>
      </w:r>
      <w:r>
        <w:rPr>
          <w:b/>
          <w:bCs/>
        </w:rPr>
        <w:t>Local Dominance (LD)</w:t>
      </w:r>
      <w:r>
        <w:rPr/>
        <w:t> ». Par défaut, quand le modèle est ajouté, le bon indice est sélectionné automatiquement.</w:t>
      </w:r>
    </w:p>
    <w:p>
      <w:pPr>
        <w:pStyle w:val="Normal"/>
        <w:spacing w:before="0" w:after="80"/>
        <w:ind w:hanging="283" w:left="850"/>
        <w:rPr>
          <w:i/>
          <w:i/>
          <w:color w:val="666666"/>
          <w:sz w:val="19"/>
        </w:rPr>
      </w:pPr>
      <w:r>
        <w:rPr>
          <w:i/>
          <w:color w:val="666666"/>
          <w:sz w:val="19"/>
        </w:rPr>
      </w:r>
    </w:p>
    <w:p>
      <w:pPr>
        <w:pStyle w:val="Heading2"/>
        <w:spacing w:before="280" w:after="0"/>
        <w:rPr/>
      </w:pPr>
      <w:bookmarkStart w:id="18" w:name="__RefHeading___Toc3913_1193836322"/>
      <w:bookmarkEnd w:id="18"/>
      <w:r>
        <w:rPr>
          <w:b/>
          <w:color w:val="FFFFFF"/>
          <w:sz w:val="2"/>
        </w:rPr>
        <w:t>Étape 7 — Lancer le traitement</w:t>
      </w:r>
    </w:p>
    <w:tbl>
      <w:tblPr>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c>
          <w:tcPr>
            <w:tcW w:w="4986" w:type="dxa"/>
            <w:tcBorders/>
            <w:shd w:fill="000091" w:val="clear"/>
          </w:tcPr>
          <w:p>
            <w:pPr>
              <w:pStyle w:val="Normal"/>
              <w:spacing w:before="40" w:after="40"/>
              <w:jc w:val="center"/>
              <w:rPr/>
            </w:pPr>
            <w:r>
              <w:rPr>
                <w:b/>
                <w:color w:val="FFFFFF"/>
                <w:sz w:val="36"/>
              </w:rPr>
              <w:t>7</w:t>
            </w:r>
          </w:p>
        </w:tc>
        <w:tc>
          <w:tcPr>
            <w:tcW w:w="4985" w:type="dxa"/>
            <w:tcBorders>
              <w:bottom w:val="single" w:sz="8" w:space="0" w:color="000091"/>
            </w:tcBorders>
          </w:tcPr>
          <w:p>
            <w:pPr>
              <w:pStyle w:val="Normal"/>
              <w:spacing w:before="160" w:after="200"/>
              <w:ind w:left="170"/>
              <w:rPr/>
            </w:pPr>
            <w:r>
              <w:rPr>
                <w:b/>
                <w:color w:val="000091"/>
                <w:sz w:val="30"/>
              </w:rPr>
              <w:t>Étape 7 — Lancer le traitement</w:t>
            </w:r>
          </w:p>
        </w:tc>
      </w:tr>
    </w:tbl>
    <w:p>
      <w:pPr>
        <w:pStyle w:val="Normal"/>
        <w:rPr/>
      </w:pPr>
      <w:r>
        <w:rPr/>
      </w:r>
    </w:p>
    <w:p>
      <w:pPr>
        <w:pStyle w:val="Normal"/>
        <w:spacing w:lineRule="exact" w:line="320" w:before="0" w:after="160"/>
        <w:rPr/>
      </w:pPr>
      <w:r>
        <w:rPr>
          <w:color w:val="3A3A3A"/>
          <w:sz w:val="22"/>
        </w:rPr>
        <w:t>Cliquer sur le bouton ▶ Lancer en bas de la fenêtre.</w:t>
      </w:r>
    </w:p>
    <w:p>
      <w:pPr>
        <w:pStyle w:val="Normal"/>
        <w:spacing w:lineRule="exact" w:line="320" w:before="0" w:after="160"/>
        <w:rPr>
          <w:color w:val="3A3A3A"/>
          <w:sz w:val="22"/>
        </w:rPr>
      </w:pPr>
      <w:r>
        <w:rPr>
          <w:color w:val="3A3A3A"/>
          <w:sz w:val="22"/>
        </w:rPr>
        <w:t>Le traitement démarre. La progression est visible dans la barre de statut et la console de logs.</w:t>
      </w:r>
    </w:p>
    <w:p>
      <w:pPr>
        <w:pStyle w:val="Normal"/>
        <w:spacing w:lineRule="exact" w:line="320" w:before="0" w:after="160"/>
        <w:rPr>
          <w:color w:val="3A3A3A"/>
          <w:sz w:val="22"/>
        </w:rPr>
      </w:pPr>
      <w:r>
        <w:rPr>
          <w:color w:val="3A3A3A"/>
          <w:sz w:val="22"/>
        </w:rPr>
        <w:drawing>
          <wp:anchor behindDoc="0" distT="0" distB="0" distL="0" distR="0" simplePos="0" locked="0" layoutInCell="0" allowOverlap="1" relativeHeight="14">
            <wp:simplePos x="0" y="0"/>
            <wp:positionH relativeFrom="column">
              <wp:posOffset>72390</wp:posOffset>
            </wp:positionH>
            <wp:positionV relativeFrom="paragraph">
              <wp:posOffset>95885</wp:posOffset>
            </wp:positionV>
            <wp:extent cx="6120130" cy="325120"/>
            <wp:effectExtent l="0" t="0" r="0" b="0"/>
            <wp:wrapSquare wrapText="largest"/>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4"/>
                    <a:stretch>
                      <a:fillRect/>
                    </a:stretch>
                  </pic:blipFill>
                  <pic:spPr bwMode="auto">
                    <a:xfrm>
                      <a:off x="0" y="0"/>
                      <a:ext cx="6120130" cy="325120"/>
                    </a:xfrm>
                    <a:prstGeom prst="rect">
                      <a:avLst/>
                    </a:prstGeom>
                    <a:noFill/>
                  </pic:spPr>
                </pic:pic>
              </a:graphicData>
            </a:graphic>
          </wp:anchor>
        </w:drawing>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E3E3FD"/>
              <w:left w:val="single" w:sz="18" w:space="0" w:color="000091"/>
              <w:bottom w:val="single" w:sz="4" w:space="0" w:color="E3E3FD"/>
              <w:right w:val="single" w:sz="4" w:space="0" w:color="E3E3FD"/>
            </w:tcBorders>
            <w:shd w:fill="E3E3FD" w:val="clear"/>
          </w:tcPr>
          <w:p>
            <w:pPr>
              <w:pStyle w:val="Normal"/>
              <w:widowControl/>
              <w:bidi w:val="0"/>
              <w:spacing w:lineRule="auto" w:line="324" w:before="0" w:after="200"/>
              <w:jc w:val="left"/>
              <w:rPr/>
            </w:pPr>
            <w:r>
              <w:rPr>
                <w:b/>
                <w:color w:val="6A6AF4"/>
                <w:sz w:val="21"/>
              </w:rPr>
              <w:t xml:space="preserve">💡 </w:t>
            </w:r>
            <w:r>
              <w:rPr>
                <w:b/>
                <w:color w:val="6A6AF4"/>
                <w:sz w:val="21"/>
              </w:rPr>
              <w:t xml:space="preserve">Conseil — </w:t>
            </w:r>
            <w:r>
              <w:rPr>
                <w:color w:val="000091"/>
                <w:sz w:val="21"/>
              </w:rPr>
              <w:t>Le temps de traitement dépend du nombre de dalles et des options choisies. Prévoir environ 5 à 15 minutes par dalle LiDAR (~1 km²) sur un poste standard.</w:t>
            </w:r>
          </w:p>
        </w:tc>
      </w:tr>
    </w:tbl>
    <w:p>
      <w:pPr>
        <w:pStyle w:val="Normal"/>
        <w:rPr/>
      </w:pPr>
      <w:r>
        <w:rPr/>
      </w:r>
    </w:p>
    <w:p>
      <w:pPr>
        <w:pStyle w:val="Heading2"/>
        <w:spacing w:before="280" w:after="0"/>
        <w:rPr/>
      </w:pPr>
      <w:bookmarkStart w:id="19" w:name="__RefHeading___Toc3915_1193836322"/>
      <w:bookmarkEnd w:id="19"/>
      <w:r>
        <w:rPr>
          <w:b/>
          <w:color w:val="FFFFFF"/>
          <w:sz w:val="2"/>
        </w:rPr>
        <w:t>Étape 8 — Consulter les résultats</w:t>
      </w:r>
    </w:p>
    <w:tbl>
      <w:tblPr>
        <w:tblW w:w="997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c>
          <w:tcPr>
            <w:tcW w:w="4986" w:type="dxa"/>
            <w:tcBorders/>
            <w:shd w:fill="000091" w:val="clear"/>
          </w:tcPr>
          <w:p>
            <w:pPr>
              <w:pStyle w:val="Normal"/>
              <w:spacing w:before="40" w:after="40"/>
              <w:jc w:val="center"/>
              <w:rPr/>
            </w:pPr>
            <w:r>
              <w:rPr>
                <w:b/>
                <w:color w:val="FFFFFF"/>
                <w:sz w:val="36"/>
              </w:rPr>
              <w:t>8</w:t>
            </w:r>
          </w:p>
        </w:tc>
        <w:tc>
          <w:tcPr>
            <w:tcW w:w="4985" w:type="dxa"/>
            <w:tcBorders>
              <w:bottom w:val="single" w:sz="8" w:space="0" w:color="000091"/>
            </w:tcBorders>
          </w:tcPr>
          <w:p>
            <w:pPr>
              <w:pStyle w:val="Normal"/>
              <w:spacing w:before="160" w:after="200"/>
              <w:ind w:left="170"/>
              <w:rPr/>
            </w:pPr>
            <w:r>
              <w:rPr>
                <w:b/>
                <w:color w:val="000091"/>
                <w:sz w:val="30"/>
              </w:rPr>
              <w:t>Étape 8 — Consulter les résultats</w:t>
            </w:r>
          </w:p>
        </w:tc>
      </w:tr>
    </w:tbl>
    <w:p>
      <w:pPr>
        <w:pStyle w:val="Normal"/>
        <w:rPr/>
      </w:pPr>
      <w:r>
        <w:rPr/>
      </w:r>
    </w:p>
    <w:p>
      <w:pPr>
        <w:pStyle w:val="Normal"/>
        <w:spacing w:lineRule="exact" w:line="320" w:before="0" w:after="160"/>
        <w:rPr/>
      </w:pPr>
      <w:r>
        <w:rPr>
          <w:color w:val="3A3A3A"/>
          <w:sz w:val="22"/>
        </w:rPr>
        <w:t>À la fin du traitement, les couches sont automatiquement chargées dans QGIS :</w:t>
      </w:r>
    </w:p>
    <w:p>
      <w:pPr>
        <w:pStyle w:val="Normal"/>
        <w:spacing w:before="0" w:after="80"/>
        <w:ind w:hanging="283" w:left="850"/>
        <w:rPr/>
      </w:pPr>
      <w:r>
        <w:rPr>
          <w:color w:val="3A3A3A"/>
          <w:sz w:val="22"/>
        </w:rPr>
        <w:t xml:space="preserve">•  </w:t>
      </w:r>
      <w:r>
        <w:rPr>
          <w:color w:val="3A3A3A"/>
          <w:sz w:val="22"/>
        </w:rPr>
        <w:t>Les rasters (MNT, indices RVT) dans le groupe Indices</w:t>
      </w:r>
    </w:p>
    <w:p>
      <w:pPr>
        <w:pStyle w:val="Normal"/>
        <w:spacing w:before="0" w:after="80"/>
        <w:ind w:hanging="283" w:left="850"/>
        <w:rPr/>
      </w:pPr>
      <w:r>
        <w:rPr>
          <w:color w:val="3A3A3A"/>
          <w:sz w:val="22"/>
        </w:rPr>
        <w:t xml:space="preserve">•  </w:t>
      </w:r>
      <w:r>
        <w:rPr>
          <w:color w:val="3A3A3A"/>
          <w:sz w:val="22"/>
        </w:rPr>
        <w:t>Les shapefiles de détection dans le groupe Détections</w:t>
      </w:r>
    </w:p>
    <w:p>
      <w:pPr>
        <w:pStyle w:val="Normal"/>
        <w:spacing w:before="0" w:after="80"/>
        <w:ind w:hanging="283" w:left="850"/>
        <w:rPr>
          <w:color w:val="3A3A3A"/>
          <w:sz w:val="22"/>
        </w:rPr>
      </w:pPr>
      <w:r>
        <w:rPr>
          <w:color w:val="3A3A3A"/>
          <w:sz w:val="22"/>
        </w:rPr>
        <w:t xml:space="preserve">•  </w:t>
      </w:r>
      <w:r>
        <w:rPr>
          <w:color w:val="3A3A3A"/>
          <w:sz w:val="22"/>
        </w:rPr>
        <w:t>Le projet QGIS consolidé est enregistré dans le dossier de sortie</w:t>
      </w:r>
    </w:p>
    <w:p>
      <w:pPr>
        <w:pStyle w:val="Normal"/>
        <w:spacing w:before="0" w:after="80"/>
        <w:ind w:hanging="283" w:left="850"/>
        <w:rPr>
          <w:i/>
          <w:i/>
          <w:color w:val="666666"/>
          <w:sz w:val="19"/>
        </w:rPr>
      </w:pPr>
      <w:r>
        <w:rPr>
          <w:i/>
          <w:color w:val="666666"/>
          <w:sz w:val="19"/>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367780" cy="3690620"/>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6367780" cy="3690620"/>
                    </a:xfrm>
                    <a:prstGeom prst="rect">
                      <a:avLst/>
                    </a:prstGeom>
                    <a:noFill/>
                  </pic:spPr>
                </pic:pic>
              </a:graphicData>
            </a:graphic>
          </wp:anchor>
        </w:drawing>
      </w:r>
    </w:p>
    <w:p>
      <w:pPr>
        <w:pStyle w:val="Normal"/>
        <w:rPr/>
      </w:pPr>
      <w:r>
        <w:rPr/>
      </w:r>
      <w:r>
        <w:br w:type="page"/>
      </w:r>
    </w:p>
    <w:p>
      <w:pPr>
        <w:pStyle w:val="Heading1"/>
        <w:pBdr>
          <w:left w:val="single" w:sz="36" w:space="10" w:color="000091"/>
        </w:pBdr>
        <w:spacing w:before="0" w:after="120"/>
        <w:ind w:left="170"/>
        <w:rPr/>
      </w:pPr>
      <w:bookmarkStart w:id="20" w:name="__RefHeading___Toc3917_1193836322"/>
      <w:bookmarkEnd w:id="20"/>
      <w:r>
        <w:rPr>
          <w:rFonts w:ascii="Segoe UI" w:hAnsi="Segoe UI"/>
          <w:b/>
          <w:color w:val="000091"/>
          <w:sz w:val="44"/>
        </w:rPr>
        <w:t xml:space="preserve">🗺️  </w:t>
      </w:r>
      <w:r>
        <w:rPr>
          <w:rFonts w:ascii="Segoe UI" w:hAnsi="Segoe UI"/>
          <w:b/>
          <w:color w:val="000091"/>
          <w:sz w:val="44"/>
        </w:rPr>
        <w:t>4. Les 4 modes de traitement</w:t>
      </w:r>
    </w:p>
    <w:p>
      <w:pPr>
        <w:pStyle w:val="Normal"/>
        <w:pBdr>
          <w:bottom w:val="single" w:sz="12" w:space="1" w:color="6A6AF4"/>
        </w:pBdr>
        <w:spacing w:before="0" w:after="120"/>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6A6AF4"/>
              <w:left w:val="single" w:sz="4" w:space="0" w:color="6A6AF4"/>
              <w:bottom w:val="single" w:sz="4" w:space="0" w:color="6A6AF4"/>
              <w:right w:val="single" w:sz="4" w:space="0" w:color="6A6AF4"/>
            </w:tcBorders>
            <w:shd w:fill="F2F2FE" w:val="clear"/>
          </w:tcPr>
          <w:p>
            <w:pPr>
              <w:pStyle w:val="Normal"/>
              <w:spacing w:before="40" w:after="80"/>
              <w:rPr/>
            </w:pPr>
            <w:r>
              <w:rPr>
                <w:b/>
                <w:color w:val="000091"/>
                <w:sz w:val="20"/>
              </w:rPr>
              <w:t xml:space="preserve">👁️  </w:t>
            </w:r>
            <w:r>
              <w:rPr>
                <w:b/>
                <w:color w:val="000091"/>
                <w:sz w:val="20"/>
              </w:rPr>
              <w:t>EN UN COUP D'ŒIL</w:t>
            </w:r>
            <w:r>
              <w:rPr>
                <w:i/>
                <w:color w:val="666666"/>
                <w:sz w:val="18"/>
              </w:rPr>
              <w:t xml:space="preserve">   •   ⏱ 6 min de lecture</w:t>
            </w:r>
          </w:p>
          <w:p>
            <w:pPr>
              <w:pStyle w:val="Normal"/>
              <w:spacing w:before="20" w:after="20"/>
              <w:ind w:left="170"/>
              <w:rPr/>
            </w:pPr>
            <w:r>
              <w:rPr>
                <w:b/>
                <w:color w:val="6A6AF4"/>
                <w:sz w:val="21"/>
              </w:rPr>
              <w:t xml:space="preserve">•  </w:t>
            </w:r>
            <w:r>
              <w:rPr>
                <w:color w:val="3A3A3A"/>
                <w:sz w:val="21"/>
              </w:rPr>
              <w:t>Tableau comparatif en un coup d'œil</w:t>
            </w:r>
          </w:p>
          <w:p>
            <w:pPr>
              <w:pStyle w:val="Normal"/>
              <w:spacing w:before="20" w:after="20"/>
              <w:ind w:left="170"/>
              <w:rPr/>
            </w:pPr>
            <w:r>
              <w:rPr>
                <w:b/>
                <w:color w:val="6A6AF4"/>
                <w:sz w:val="21"/>
              </w:rPr>
              <w:t xml:space="preserve">•  </w:t>
            </w:r>
            <w:r>
              <w:rPr>
                <w:color w:val="3A3A3A"/>
                <w:sz w:val="21"/>
              </w:rPr>
              <w:t>Quand utiliser chaque mode</w:t>
            </w:r>
          </w:p>
          <w:p>
            <w:pPr>
              <w:pStyle w:val="Normal"/>
              <w:spacing w:before="20" w:after="20"/>
              <w:ind w:left="170"/>
              <w:rPr/>
            </w:pPr>
            <w:r>
              <w:rPr>
                <w:b/>
                <w:color w:val="6A6AF4"/>
                <w:sz w:val="21"/>
              </w:rPr>
              <w:t xml:space="preserve">•  </w:t>
            </w:r>
            <w:r>
              <w:rPr>
                <w:color w:val="3A3A3A"/>
                <w:sz w:val="21"/>
              </w:rPr>
              <w:t>Détail et format d'entrée pour chacun</w:t>
            </w:r>
          </w:p>
        </w:tc>
      </w:tr>
    </w:tbl>
    <w:p>
      <w:pPr>
        <w:pStyle w:val="Normal"/>
        <w:rPr/>
      </w:pPr>
      <w:r>
        <w:rPr/>
      </w:r>
    </w:p>
    <w:p>
      <w:pPr>
        <w:pStyle w:val="Normal"/>
        <w:spacing w:lineRule="exact" w:line="320" w:before="0" w:after="160"/>
        <w:rPr/>
      </w:pPr>
      <w:r>
        <w:rPr>
          <w:color w:val="3A3A3A"/>
          <w:sz w:val="22"/>
        </w:rPr>
        <w:t>Le plugin prend en charge 4 modes selon le type de données disponibles.</w:t>
      </w:r>
    </w:p>
    <w:p>
      <w:pPr>
        <w:pStyle w:val="Heading2"/>
        <w:rPr/>
      </w:pPr>
      <w:bookmarkStart w:id="21" w:name="__RefHeading___Toc3919_1193836322"/>
      <w:bookmarkEnd w:id="21"/>
      <w:r>
        <w:rPr>
          <w:rFonts w:ascii="Segoe UI" w:hAnsi="Segoe UI"/>
          <w:b/>
          <w:color w:val="1F2E5E"/>
          <w:sz w:val="32"/>
        </w:rPr>
        <w:t>4.0 Synthèse des 4 modes</w:t>
      </w:r>
    </w:p>
    <w:tbl>
      <w:tblPr>
        <w:tblW w:w="997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994"/>
        <w:gridCol w:w="1994"/>
        <w:gridCol w:w="1994"/>
        <w:gridCol w:w="1994"/>
        <w:gridCol w:w="1994"/>
      </w:tblGrid>
      <w:tr>
        <w:trPr/>
        <w:tc>
          <w:tcPr>
            <w:tcW w:w="199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Mode</w:t>
            </w:r>
          </w:p>
        </w:tc>
        <w:tc>
          <w:tcPr>
            <w:tcW w:w="199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Quand l'utiliser</w:t>
            </w:r>
          </w:p>
        </w:tc>
        <w:tc>
          <w:tcPr>
            <w:tcW w:w="199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Entrée</w:t>
            </w:r>
          </w:p>
        </w:tc>
        <w:tc>
          <w:tcPr>
            <w:tcW w:w="199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Internet</w:t>
            </w:r>
          </w:p>
        </w:tc>
        <w:tc>
          <w:tcPr>
            <w:tcW w:w="199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Temps/dalle</w:t>
            </w:r>
          </w:p>
        </w:tc>
      </w:tr>
      <w:tr>
        <w:trPr/>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ign_laz</w:t>
            </w:r>
          </w:p>
        </w:tc>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France, pas de LAZ local</w:t>
            </w:r>
          </w:p>
        </w:tc>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Fichier vectoriel ou .txt</w:t>
            </w:r>
          </w:p>
        </w:tc>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 xml:space="preserve">✅ </w:t>
            </w:r>
            <w:r>
              <w:rPr>
                <w:color w:val="3A3A3A"/>
                <w:sz w:val="20"/>
              </w:rPr>
              <w:t>Oui</w:t>
            </w:r>
          </w:p>
        </w:tc>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10–15 min</w:t>
            </w:r>
          </w:p>
        </w:tc>
      </w:tr>
      <w:tr>
        <w:trPr/>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local_laz</w:t>
            </w:r>
          </w:p>
        </w:tc>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LAZ déjà téléchargés</w:t>
            </w:r>
          </w:p>
        </w:tc>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Dossier .laz / .las</w:t>
            </w:r>
          </w:p>
        </w:tc>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 xml:space="preserve">❌ </w:t>
            </w:r>
            <w:r>
              <w:rPr>
                <w:color w:val="3A3A3A"/>
                <w:sz w:val="20"/>
              </w:rPr>
              <w:t>Non</w:t>
            </w:r>
          </w:p>
        </w:tc>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8–12 min</w:t>
            </w:r>
          </w:p>
        </w:tc>
      </w:tr>
      <w:tr>
        <w:trPr/>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existing_mnt</w:t>
            </w:r>
          </w:p>
        </w:tc>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MNT déjà produit</w:t>
            </w:r>
          </w:p>
        </w:tc>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Dossier .tif / .asc</w:t>
            </w:r>
          </w:p>
        </w:tc>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 xml:space="preserve">❌ </w:t>
            </w:r>
            <w:r>
              <w:rPr>
                <w:color w:val="3A3A3A"/>
                <w:sz w:val="20"/>
              </w:rPr>
              <w:t>Non</w:t>
            </w:r>
          </w:p>
        </w:tc>
        <w:tc>
          <w:tcPr>
            <w:tcW w:w="199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3–5 min</w:t>
            </w:r>
          </w:p>
        </w:tc>
      </w:tr>
      <w:tr>
        <w:trPr/>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existing_rvt</w:t>
            </w:r>
          </w:p>
        </w:tc>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Indices RVT prêts</w:t>
            </w:r>
          </w:p>
        </w:tc>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Dossier .tif</w:t>
            </w:r>
          </w:p>
        </w:tc>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 xml:space="preserve">❌ </w:t>
            </w:r>
            <w:r>
              <w:rPr>
                <w:color w:val="3A3A3A"/>
                <w:sz w:val="20"/>
              </w:rPr>
              <w:t>Non</w:t>
            </w:r>
          </w:p>
        </w:tc>
        <w:tc>
          <w:tcPr>
            <w:tcW w:w="199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1–3 min</w:t>
            </w:r>
          </w:p>
        </w:tc>
      </w:tr>
    </w:tbl>
    <w:p>
      <w:pPr>
        <w:pStyle w:val="Normal"/>
        <w:rPr>
          <w:i/>
          <w:i/>
          <w:color w:val="666666"/>
          <w:sz w:val="19"/>
        </w:rPr>
      </w:pPr>
      <w:r>
        <w:rPr>
          <w:i/>
          <w:color w:val="666666"/>
          <w:sz w:val="19"/>
        </w:rPr>
      </w:r>
    </w:p>
    <w:p>
      <w:pPr>
        <w:pStyle w:val="Heading2"/>
        <w:rPr/>
      </w:pPr>
      <w:bookmarkStart w:id="22" w:name="__RefHeading___Toc3921_1193836322"/>
      <w:bookmarkEnd w:id="22"/>
      <w:r>
        <w:rPr>
          <w:rFonts w:ascii="Segoe UI" w:hAnsi="Segoe UI"/>
          <w:b/>
          <w:color w:val="1F2E5E"/>
          <w:sz w:val="32"/>
        </w:rPr>
        <w:t>4.1 Mode ign_laz — Données LiDAR IGN (recommandé)</w:t>
      </w:r>
    </w:p>
    <w:p>
      <w:pPr>
        <w:pStyle w:val="Normal"/>
        <w:spacing w:lineRule="exact" w:line="320" w:before="0" w:after="160"/>
        <w:rPr/>
      </w:pPr>
      <w:r>
        <w:rPr>
          <w:b/>
          <w:i w:val="false"/>
          <w:color w:val="3A3A3A"/>
          <w:sz w:val="22"/>
        </w:rPr>
        <w:t xml:space="preserve">Quand l'utiliser : </w:t>
      </w:r>
      <w:r>
        <w:rPr>
          <w:b w:val="false"/>
          <w:i w:val="false"/>
          <w:color w:val="3A3A3A"/>
          <w:sz w:val="22"/>
        </w:rPr>
        <w:t>vous souhaitez traiter une zone en France métropolitaine sans disposer des dalles LiDAR en local.</w:t>
      </w:r>
    </w:p>
    <w:p>
      <w:pPr>
        <w:pStyle w:val="Normal"/>
        <w:spacing w:lineRule="exact" w:line="320" w:before="0" w:after="160"/>
        <w:rPr/>
      </w:pPr>
      <w:r>
        <w:rPr>
          <w:b/>
          <w:i w:val="false"/>
          <w:color w:val="3A3A3A"/>
          <w:sz w:val="22"/>
        </w:rPr>
        <w:t>Fonctionnement :</w:t>
      </w:r>
    </w:p>
    <w:p>
      <w:pPr>
        <w:pStyle w:val="Normal"/>
        <w:spacing w:before="0" w:after="80"/>
        <w:ind w:hanging="283" w:left="850"/>
        <w:rPr/>
      </w:pPr>
      <w:r>
        <w:rPr>
          <w:color w:val="3A3A3A"/>
          <w:sz w:val="22"/>
        </w:rPr>
        <w:t xml:space="preserve">•  </w:t>
      </w:r>
      <w:r>
        <w:rPr>
          <w:color w:val="3A3A3A"/>
          <w:sz w:val="22"/>
        </w:rPr>
        <w:t>Le plugin interroge la grille nationale IGN pour identifier les dalles couvrant la zone</w:t>
      </w:r>
    </w:p>
    <w:p>
      <w:pPr>
        <w:pStyle w:val="Normal"/>
        <w:spacing w:before="0" w:after="80"/>
        <w:ind w:hanging="283" w:left="850"/>
        <w:rPr/>
      </w:pPr>
      <w:r>
        <w:rPr>
          <w:color w:val="3A3A3A"/>
          <w:sz w:val="22"/>
        </w:rPr>
        <w:t xml:space="preserve">•  </w:t>
      </w:r>
      <w:r>
        <w:rPr>
          <w:color w:val="3A3A3A"/>
          <w:sz w:val="22"/>
        </w:rPr>
        <w:t>Les dalles sont téléchargées automatiquement depuis les serveurs IGN</w:t>
      </w:r>
    </w:p>
    <w:p>
      <w:pPr>
        <w:pStyle w:val="Normal"/>
        <w:spacing w:before="0" w:after="80"/>
        <w:ind w:hanging="283" w:left="850"/>
        <w:rPr/>
      </w:pPr>
      <w:r>
        <w:rPr>
          <w:color w:val="3A3A3A"/>
          <w:sz w:val="22"/>
        </w:rPr>
        <w:t xml:space="preserve">•  </w:t>
      </w:r>
      <w:r>
        <w:rPr>
          <w:color w:val="3A3A3A"/>
          <w:sz w:val="22"/>
        </w:rPr>
        <w:t>Les traitements sont appliqués</w:t>
      </w:r>
    </w:p>
    <w:p>
      <w:pPr>
        <w:pStyle w:val="Normal"/>
        <w:spacing w:lineRule="exact" w:line="320" w:before="0" w:after="160"/>
        <w:rPr/>
      </w:pPr>
      <w:r>
        <w:rPr>
          <w:b/>
          <w:i w:val="false"/>
          <w:color w:val="3A3A3A"/>
          <w:sz w:val="22"/>
        </w:rPr>
        <w:t>Entrée acceptée :</w:t>
      </w:r>
    </w:p>
    <w:p>
      <w:pPr>
        <w:pStyle w:val="Normal"/>
        <w:spacing w:before="0" w:after="80"/>
        <w:ind w:hanging="283" w:left="850"/>
        <w:rPr/>
      </w:pPr>
      <w:r>
        <w:rPr>
          <w:color w:val="3A3A3A"/>
          <w:sz w:val="22"/>
        </w:rPr>
        <w:t xml:space="preserve">•  </w:t>
      </w:r>
      <w:r>
        <w:rPr>
          <w:color w:val="3A3A3A"/>
          <w:sz w:val="22"/>
        </w:rPr>
        <w:t>Un fichier vectoriel (.shp, .geojson, .gpkg) délimitant la zone d'étude</w:t>
      </w:r>
    </w:p>
    <w:p>
      <w:pPr>
        <w:pStyle w:val="Normal"/>
        <w:spacing w:before="0" w:after="80"/>
        <w:ind w:hanging="283" w:left="850"/>
        <w:rPr/>
      </w:pPr>
      <w:r>
        <w:rPr>
          <w:color w:val="3A3A3A"/>
          <w:sz w:val="22"/>
        </w:rPr>
        <w:t xml:space="preserve">•  </w:t>
      </w:r>
      <w:r>
        <w:rPr>
          <w:color w:val="3A3A3A"/>
          <w:sz w:val="22"/>
        </w:rPr>
        <w:t>Un fichier texte (.txt) listant les URLs de dalles IGN (une par ligne, format nom_dalle,url)</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FDF4E5"/>
              <w:left w:val="single" w:sz="18" w:space="0" w:color="B34000"/>
              <w:bottom w:val="single" w:sz="4" w:space="0" w:color="FDF4E5"/>
              <w:right w:val="single" w:sz="4" w:space="0" w:color="FDF4E5"/>
            </w:tcBorders>
            <w:shd w:fill="FDF4E5" w:val="clear"/>
          </w:tcPr>
          <w:p>
            <w:pPr>
              <w:pStyle w:val="Normal"/>
              <w:widowControl/>
              <w:bidi w:val="0"/>
              <w:spacing w:lineRule="auto" w:line="324" w:before="0" w:after="200"/>
              <w:jc w:val="left"/>
              <w:rPr/>
            </w:pPr>
            <w:r>
              <w:rPr>
                <w:b/>
                <w:color w:val="B34000"/>
                <w:sz w:val="21"/>
              </w:rPr>
              <w:t xml:space="preserve">⚠️ </w:t>
            </w:r>
            <w:r>
              <w:rPr>
                <w:b/>
                <w:color w:val="B34000"/>
                <w:sz w:val="21"/>
              </w:rPr>
              <w:t xml:space="preserve">Attention — </w:t>
            </w:r>
            <w:r>
              <w:rPr>
                <w:color w:val="71500D"/>
                <w:sz w:val="21"/>
              </w:rPr>
              <w:t>Connexion internet requise pour le téléchargement des dalles.</w:t>
            </w:r>
          </w:p>
        </w:tc>
      </w:tr>
    </w:tbl>
    <w:p>
      <w:pPr>
        <w:pStyle w:val="Normal"/>
        <w:rPr/>
      </w:pPr>
      <w:r>
        <w:rPr/>
      </w:r>
    </w:p>
    <w:p>
      <w:pPr>
        <w:pStyle w:val="Heading2"/>
        <w:rPr/>
      </w:pPr>
      <w:bookmarkStart w:id="23" w:name="__RefHeading___Toc3923_1193836322"/>
      <w:bookmarkEnd w:id="23"/>
      <w:r>
        <w:rPr>
          <w:rFonts w:ascii="Segoe UI" w:hAnsi="Segoe UI"/>
          <w:b/>
          <w:color w:val="1F2E5E"/>
          <w:sz w:val="32"/>
        </w:rPr>
        <w:t>4.2 Mode local_laz — Fichiers LAZ locaux</w:t>
      </w:r>
    </w:p>
    <w:p>
      <w:pPr>
        <w:pStyle w:val="Normal"/>
        <w:spacing w:lineRule="exact" w:line="320" w:before="0" w:after="160"/>
        <w:rPr/>
      </w:pPr>
      <w:r>
        <w:rPr>
          <w:b/>
          <w:i w:val="false"/>
          <w:color w:val="3A3A3A"/>
          <w:sz w:val="22"/>
        </w:rPr>
        <w:t xml:space="preserve">Quand l'utiliser : </w:t>
      </w:r>
      <w:r>
        <w:rPr>
          <w:b w:val="false"/>
          <w:i w:val="false"/>
          <w:color w:val="3A3A3A"/>
          <w:sz w:val="22"/>
        </w:rPr>
        <w:t>vous disposez déjà des fichiers LAZ sur votre poste ou sur un serveur local.</w:t>
      </w:r>
    </w:p>
    <w:p>
      <w:pPr>
        <w:pStyle w:val="Normal"/>
        <w:spacing w:lineRule="exact" w:line="320" w:before="0" w:after="160"/>
        <w:rPr/>
      </w:pPr>
      <w:r>
        <w:rPr>
          <w:color w:val="3A3A3A"/>
          <w:sz w:val="22"/>
        </w:rPr>
        <w:t>Fonctionnement : le plugin scanne le dossier spécifié, fusionne les dalles adjacentes si nécessaire, et applique les mêmes traitements que le mode IGN.</w:t>
      </w:r>
    </w:p>
    <w:p>
      <w:pPr>
        <w:pStyle w:val="Normal"/>
        <w:spacing w:lineRule="exact" w:line="320" w:before="0" w:after="160"/>
        <w:rPr/>
      </w:pPr>
      <w:r>
        <w:rPr>
          <w:b/>
          <w:i w:val="false"/>
          <w:color w:val="3A3A3A"/>
          <w:sz w:val="22"/>
        </w:rPr>
        <w:t xml:space="preserve">Entrée acceptée : </w:t>
      </w:r>
      <w:r>
        <w:rPr>
          <w:b w:val="false"/>
          <w:i w:val="false"/>
          <w:color w:val="3A3A3A"/>
          <w:sz w:val="22"/>
        </w:rPr>
        <w:t>un dossier contenant les fichiers .laz ou .las</w:t>
      </w:r>
    </w:p>
    <w:p>
      <w:pPr>
        <w:pStyle w:val="Heading2"/>
        <w:rPr/>
      </w:pPr>
      <w:bookmarkStart w:id="24" w:name="__RefHeading___Toc3925_1193836322"/>
      <w:bookmarkEnd w:id="24"/>
      <w:r>
        <w:rPr>
          <w:rFonts w:ascii="Segoe UI" w:hAnsi="Segoe UI"/>
          <w:b/>
          <w:color w:val="1F2E5E"/>
          <w:sz w:val="32"/>
        </w:rPr>
        <w:t>4.3 Mode existing_mnt — MNT déjà calculés</w:t>
      </w:r>
    </w:p>
    <w:p>
      <w:pPr>
        <w:pStyle w:val="Normal"/>
        <w:spacing w:lineRule="exact" w:line="320" w:before="0" w:after="160"/>
        <w:rPr/>
      </w:pPr>
      <w:r>
        <w:rPr>
          <w:b/>
          <w:i w:val="false"/>
          <w:color w:val="3A3A3A"/>
          <w:sz w:val="22"/>
        </w:rPr>
        <w:t xml:space="preserve">Quand l'utiliser : </w:t>
      </w:r>
      <w:r>
        <w:rPr>
          <w:b w:val="false"/>
          <w:i w:val="false"/>
          <w:color w:val="3A3A3A"/>
          <w:sz w:val="22"/>
        </w:rPr>
        <w:t>vous disposez déjà de MNT (rasters d'altitude) mais pas encore des indices de visualisation.</w:t>
      </w:r>
    </w:p>
    <w:p>
      <w:pPr>
        <w:pStyle w:val="Normal"/>
        <w:spacing w:lineRule="exact" w:line="320" w:before="0" w:after="160"/>
        <w:rPr/>
      </w:pPr>
      <w:r>
        <w:rPr>
          <w:color w:val="3A3A3A"/>
          <w:sz w:val="22"/>
        </w:rPr>
        <w:t>Fonctionnement : le plugin charge les fichiers MNT (.tif ou .asc), calcule les indices RVT sélectionnés, puis exécute éventuellement la Computer Vision.</w:t>
      </w:r>
    </w:p>
    <w:p>
      <w:pPr>
        <w:pStyle w:val="Normal"/>
        <w:spacing w:lineRule="exact" w:line="320" w:before="0" w:after="160"/>
        <w:rPr/>
      </w:pPr>
      <w:r>
        <w:rPr>
          <w:b/>
          <w:i w:val="false"/>
          <w:color w:val="3A3A3A"/>
          <w:sz w:val="22"/>
        </w:rPr>
        <w:t xml:space="preserve">Entrée acceptée : </w:t>
      </w:r>
      <w:r>
        <w:rPr>
          <w:b w:val="false"/>
          <w:i w:val="false"/>
          <w:color w:val="3A3A3A"/>
          <w:sz w:val="22"/>
        </w:rPr>
        <w:t>un dossier contenant des fichiers MNT (.tif, .tiff, .asc)</w:t>
      </w:r>
    </w:p>
    <w:p>
      <w:pPr>
        <w:pStyle w:val="Heading2"/>
        <w:rPr/>
      </w:pPr>
      <w:bookmarkStart w:id="25" w:name="__RefHeading___Toc3927_1193836322"/>
      <w:bookmarkEnd w:id="25"/>
      <w:r>
        <w:rPr>
          <w:rFonts w:ascii="Segoe UI" w:hAnsi="Segoe UI"/>
          <w:b/>
          <w:color w:val="1F2E5E"/>
          <w:sz w:val="32"/>
        </w:rPr>
        <w:t>4.4 Mode existing_rvt — Indices de visualisation déjà produits</w:t>
      </w:r>
    </w:p>
    <w:p>
      <w:pPr>
        <w:pStyle w:val="Normal"/>
        <w:spacing w:lineRule="exact" w:line="320" w:before="0" w:after="160"/>
        <w:rPr/>
      </w:pPr>
      <w:r>
        <w:rPr>
          <w:b/>
          <w:i w:val="false"/>
          <w:color w:val="3A3A3A"/>
          <w:sz w:val="22"/>
        </w:rPr>
        <w:t xml:space="preserve">Quand l'utiliser : </w:t>
      </w:r>
      <w:r>
        <w:rPr>
          <w:b w:val="false"/>
          <w:i w:val="false"/>
          <w:color w:val="3A3A3A"/>
          <w:sz w:val="22"/>
        </w:rPr>
        <w:t>vous disposez déjà des indices de visualisation (rasters RVT) et souhaitez uniquement lancer la détection automatique par IA.</w:t>
      </w:r>
    </w:p>
    <w:p>
      <w:pPr>
        <w:pStyle w:val="Normal"/>
        <w:spacing w:lineRule="exact" w:line="320" w:before="0" w:after="160"/>
        <w:rPr/>
      </w:pPr>
      <w:r>
        <w:rPr>
          <w:color w:val="3A3A3A"/>
          <w:sz w:val="22"/>
        </w:rPr>
        <w:t>Fonctionnement : le plugin copie et normalise les fichiers TIF, puis lance la Computer Vision.</w:t>
      </w:r>
    </w:p>
    <w:p>
      <w:pPr>
        <w:pStyle w:val="Normal"/>
        <w:spacing w:lineRule="exact" w:line="320" w:before="0" w:after="160"/>
        <w:rPr/>
      </w:pPr>
      <w:r>
        <w:rPr>
          <w:b/>
          <w:i w:val="false"/>
          <w:color w:val="3A3A3A"/>
          <w:sz w:val="22"/>
        </w:rPr>
        <w:t xml:space="preserve">Entrée acceptée : </w:t>
      </w:r>
      <w:r>
        <w:rPr>
          <w:b w:val="false"/>
          <w:i w:val="false"/>
          <w:color w:val="3A3A3A"/>
          <w:sz w:val="22"/>
        </w:rPr>
        <w:t>un dossier contenant des fichiers .tif / .tiff</w:t>
      </w:r>
    </w:p>
    <w:p>
      <w:pPr>
        <w:pStyle w:val="Normal"/>
        <w:rPr/>
      </w:pPr>
      <w:r>
        <w:rPr/>
      </w:r>
      <w:r>
        <w:br w:type="page"/>
      </w:r>
    </w:p>
    <w:p>
      <w:pPr>
        <w:pStyle w:val="Heading1"/>
        <w:pBdr>
          <w:left w:val="single" w:sz="36" w:space="10" w:color="000091"/>
        </w:pBdr>
        <w:spacing w:before="0" w:after="120"/>
        <w:ind w:left="170"/>
        <w:rPr/>
      </w:pPr>
      <w:bookmarkStart w:id="26" w:name="__RefHeading___Toc3929_1193836322"/>
      <w:bookmarkStart w:id="27" w:name="section_configuration"/>
      <w:bookmarkEnd w:id="26"/>
      <w:r>
        <w:rPr>
          <w:rFonts w:ascii="Segoe UI" w:hAnsi="Segoe UI"/>
          <w:b/>
          <w:color w:val="000091"/>
          <w:sz w:val="44"/>
        </w:rPr>
        <w:t xml:space="preserve">⚙️  </w:t>
      </w:r>
      <w:r>
        <w:rPr>
          <w:rFonts w:ascii="Segoe UI" w:hAnsi="Segoe UI"/>
          <w:b/>
          <w:color w:val="000091"/>
          <w:sz w:val="44"/>
        </w:rPr>
        <w:t>5. Configuration de base</w:t>
      </w:r>
      <w:bookmarkEnd w:id="27"/>
    </w:p>
    <w:p>
      <w:pPr>
        <w:pStyle w:val="Normal"/>
        <w:pBdr>
          <w:bottom w:val="single" w:sz="12" w:space="1" w:color="6A6AF4"/>
        </w:pBdr>
        <w:spacing w:before="0" w:after="120"/>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6A6AF4"/>
              <w:left w:val="single" w:sz="4" w:space="0" w:color="6A6AF4"/>
              <w:bottom w:val="single" w:sz="4" w:space="0" w:color="6A6AF4"/>
              <w:right w:val="single" w:sz="4" w:space="0" w:color="6A6AF4"/>
            </w:tcBorders>
            <w:shd w:fill="F2F2FE" w:val="clear"/>
          </w:tcPr>
          <w:p>
            <w:pPr>
              <w:pStyle w:val="Normal"/>
              <w:spacing w:before="40" w:after="80"/>
              <w:rPr/>
            </w:pPr>
            <w:r>
              <w:rPr>
                <w:b/>
                <w:color w:val="000091"/>
                <w:sz w:val="20"/>
              </w:rPr>
              <w:t xml:space="preserve">👁️  </w:t>
            </w:r>
            <w:r>
              <w:rPr>
                <w:b/>
                <w:color w:val="000091"/>
                <w:sz w:val="20"/>
              </w:rPr>
              <w:t>EN UN COUP D'ŒIL</w:t>
            </w:r>
            <w:r>
              <w:rPr>
                <w:i/>
                <w:color w:val="666666"/>
                <w:sz w:val="18"/>
              </w:rPr>
              <w:t xml:space="preserve">   •   ⏱ 5 min de lecture</w:t>
            </w:r>
          </w:p>
          <w:p>
            <w:pPr>
              <w:pStyle w:val="Normal"/>
              <w:spacing w:before="20" w:after="20"/>
              <w:ind w:left="170"/>
              <w:rPr/>
            </w:pPr>
            <w:r>
              <w:rPr>
                <w:b/>
                <w:color w:val="6A6AF4"/>
                <w:sz w:val="21"/>
              </w:rPr>
              <w:t xml:space="preserve">•  </w:t>
            </w:r>
            <w:r>
              <w:rPr>
                <w:color w:val="3A3A3A"/>
                <w:sz w:val="21"/>
              </w:rPr>
              <w:t>Sources, produits RVT et Computer Vision</w:t>
            </w:r>
          </w:p>
          <w:p>
            <w:pPr>
              <w:pStyle w:val="Normal"/>
              <w:spacing w:before="20" w:after="20"/>
              <w:ind w:left="170"/>
              <w:rPr/>
            </w:pPr>
            <w:r>
              <w:rPr>
                <w:b/>
                <w:color w:val="6A6AF4"/>
                <w:sz w:val="21"/>
              </w:rPr>
              <w:t xml:space="preserve">•  </w:t>
            </w:r>
            <w:r>
              <w:rPr>
                <w:color w:val="3A3A3A"/>
                <w:sz w:val="21"/>
              </w:rPr>
              <w:t>Sauvegarde / chargement de configuration en JSON</w:t>
            </w:r>
          </w:p>
          <w:p>
            <w:pPr>
              <w:pStyle w:val="Normal"/>
              <w:spacing w:before="20" w:after="20"/>
              <w:ind w:left="170"/>
              <w:rPr/>
            </w:pPr>
            <w:r>
              <w:rPr>
                <w:b/>
                <w:color w:val="6A6AF4"/>
                <w:sz w:val="21"/>
              </w:rPr>
              <w:t xml:space="preserve">•  </w:t>
            </w:r>
            <w:r>
              <w:rPr>
                <w:color w:val="3A3A3A"/>
                <w:sz w:val="21"/>
              </w:rPr>
              <w:t>Différence Simple / Expert</w:t>
            </w:r>
          </w:p>
        </w:tc>
      </w:tr>
    </w:tbl>
    <w:p>
      <w:pPr>
        <w:pStyle w:val="Normal"/>
        <w:rPr/>
      </w:pPr>
      <w:r>
        <w:rPr/>
      </w:r>
    </w:p>
    <w:p>
      <w:pPr>
        <w:pStyle w:val="Heading2"/>
        <w:rPr/>
      </w:pPr>
      <w:bookmarkStart w:id="28" w:name="__RefHeading___Toc3931_1193836322"/>
      <w:bookmarkEnd w:id="28"/>
      <w:r>
        <w:rPr>
          <w:rFonts w:ascii="Segoe UI" w:hAnsi="Segoe UI"/>
          <w:b/>
          <w:color w:val="1F2E5E"/>
          <w:sz w:val="32"/>
        </w:rPr>
        <w:t>5.1 Section Sources</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c>
          <w:tcPr>
            <w:tcW w:w="4986"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Paramètre</w:t>
            </w:r>
          </w:p>
        </w:tc>
        <w:tc>
          <w:tcPr>
            <w:tcW w:w="4985"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Description</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Mode</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Le mode de traitement (voir section 4)</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Zone d'étude / Dossier source</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Fichier vectoriel, fichier .txt ou dossier selon le mode</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Dossier de sortie</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Dossier où seront écrits tous les fichiers produits</w:t>
            </w:r>
          </w:p>
        </w:tc>
      </w:tr>
    </w:tbl>
    <w:p>
      <w:pPr>
        <w:pStyle w:val="Normal"/>
        <w:rPr/>
      </w:pPr>
      <w:r>
        <w:rPr/>
      </w:r>
    </w:p>
    <w:p>
      <w:pPr>
        <w:pStyle w:val="Heading2"/>
        <w:rPr/>
      </w:pPr>
      <w:bookmarkStart w:id="29" w:name="__RefHeading___Toc3933_1193836322"/>
      <w:bookmarkEnd w:id="29"/>
      <w:r>
        <w:rPr>
          <w:rFonts w:ascii="Segoe UI" w:hAnsi="Segoe UI"/>
          <w:b/>
          <w:color w:val="1F2E5E"/>
          <w:sz w:val="32"/>
        </w:rPr>
        <w:t>5.2 Section MNT et Indices de visualisation</w:t>
      </w:r>
    </w:p>
    <w:p>
      <w:pPr>
        <w:pStyle w:val="Normal"/>
        <w:spacing w:lineRule="exact" w:line="320" w:before="0" w:after="160"/>
        <w:rPr/>
      </w:pPr>
      <w:r>
        <w:rPr>
          <w:color w:val="3A3A3A"/>
          <w:sz w:val="22"/>
        </w:rPr>
        <w:t>Cocher les produits à calculer. Chaque produit coché sera calculé pour chaque dalle traitée.</w:t>
      </w:r>
    </w:p>
    <w:p>
      <w:pPr>
        <w:pStyle w:val="Normal"/>
        <w:spacing w:lineRule="exact" w:line="320" w:before="0" w:after="160"/>
        <w:rPr>
          <w:color w:val="3A3A3A"/>
          <w:sz w:val="22"/>
        </w:rPr>
      </w:pPr>
      <w:r>
        <w:rPr>
          <w:color w:val="3A3A3A"/>
          <w:sz w:val="22"/>
        </w:rPr>
        <w:t xml:space="preserve">En mode Simple, les paramètres de calcul utilisent les valeurs par défaut. En mode Expert, chaque indice expose ses paramètres détaillés (voir </w:t>
      </w:r>
      <w:hyperlink w:anchor="_toc1168">
        <w:r>
          <w:rPr>
            <w:rStyle w:val="Hyperlink"/>
            <w:color w:val="3A3A3A"/>
            <w:sz w:val="22"/>
          </w:rPr>
          <w:t>Annexe A</w:t>
        </w:r>
      </w:hyperlink>
      <w:r>
        <w:rPr>
          <w:color w:val="3A3A3A"/>
          <w:sz w:val="22"/>
        </w:rPr>
        <w:t>).</w:t>
      </w:r>
    </w:p>
    <w:p>
      <w:pPr>
        <w:pStyle w:val="Normal"/>
        <w:spacing w:lineRule="exact" w:line="320" w:before="0" w:after="160"/>
        <w:rPr>
          <w:i/>
          <w:i/>
          <w:color w:val="666666"/>
          <w:sz w:val="19"/>
        </w:rPr>
      </w:pPr>
      <w:r>
        <w:rPr>
          <w:i/>
          <w:color w:val="666666"/>
          <w:sz w:val="19"/>
        </w:rPr>
        <w:drawing>
          <wp:anchor behindDoc="0" distT="0" distB="0" distL="0" distR="0" simplePos="0" locked="0" layoutInCell="0" allowOverlap="1" relativeHeight="16">
            <wp:simplePos x="0" y="0"/>
            <wp:positionH relativeFrom="column">
              <wp:posOffset>729615</wp:posOffset>
            </wp:positionH>
            <wp:positionV relativeFrom="paragraph">
              <wp:posOffset>61595</wp:posOffset>
            </wp:positionV>
            <wp:extent cx="5100320" cy="2692400"/>
            <wp:effectExtent l="0" t="0" r="0" b="0"/>
            <wp:wrapSquare wrapText="largest"/>
            <wp:docPr id="15"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 descr=""/>
                    <pic:cNvPicPr>
                      <a:picLocks noChangeAspect="1" noChangeArrowheads="1"/>
                    </pic:cNvPicPr>
                  </pic:nvPicPr>
                  <pic:blipFill>
                    <a:blip r:embed="rId16"/>
                    <a:stretch>
                      <a:fillRect/>
                    </a:stretch>
                  </pic:blipFill>
                  <pic:spPr bwMode="auto">
                    <a:xfrm>
                      <a:off x="0" y="0"/>
                      <a:ext cx="5100320" cy="2692400"/>
                    </a:xfrm>
                    <a:prstGeom prst="rect">
                      <a:avLst/>
                    </a:prstGeom>
                    <a:noFill/>
                  </pic:spPr>
                </pic:pic>
              </a:graphicData>
            </a:graphic>
          </wp:anchor>
        </w:drawing>
      </w:r>
    </w:p>
    <w:p>
      <w:pPr>
        <w:pStyle w:val="Heading2"/>
        <w:rPr/>
      </w:pPr>
      <w:bookmarkStart w:id="30" w:name="__RefHeading___Toc3935_1193836322"/>
      <w:bookmarkEnd w:id="30"/>
      <w:r>
        <w:rPr>
          <w:rFonts w:ascii="Segoe UI" w:hAnsi="Segoe UI"/>
          <w:b/>
          <w:color w:val="1F2E5E"/>
          <w:sz w:val="32"/>
        </w:rPr>
        <w:t>5.3 Sauvegarde et chargement de configuration</w:t>
      </w:r>
    </w:p>
    <w:p>
      <w:pPr>
        <w:pStyle w:val="Normal"/>
        <w:spacing w:lineRule="exact" w:line="320" w:before="0" w:after="160"/>
        <w:rPr/>
      </w:pPr>
      <w:r>
        <w:rPr>
          <w:color w:val="3A3A3A"/>
          <w:sz w:val="22"/>
        </w:rPr>
        <w:t>Les boutons Sauvegarder config et Charger config (en haut de la fenêtre) permettent d'enregistrer et de recharger un profil de configuration complet au format .json.</w:t>
      </w:r>
    </w:p>
    <w:p>
      <w:pPr>
        <w:pStyle w:val="Normal"/>
        <w:spacing w:lineRule="exact" w:line="320" w:before="0" w:after="160"/>
        <w:rPr/>
      </w:pPr>
      <w:r>
        <w:rPr>
          <w:color w:val="3A3A3A"/>
          <w:sz w:val="22"/>
        </w:rPr>
        <w:t>Cela permet de :</w:t>
      </w:r>
    </w:p>
    <w:p>
      <w:pPr>
        <w:pStyle w:val="Normal"/>
        <w:spacing w:before="0" w:after="80"/>
        <w:ind w:hanging="283" w:left="850"/>
        <w:rPr/>
      </w:pPr>
      <w:r>
        <w:rPr>
          <w:color w:val="3A3A3A"/>
          <w:sz w:val="22"/>
        </w:rPr>
        <w:t xml:space="preserve">•  </w:t>
      </w:r>
      <w:r>
        <w:rPr>
          <w:color w:val="3A3A3A"/>
          <w:sz w:val="22"/>
        </w:rPr>
        <w:t>Reprendre un traitement avec les mêmes paramètres</w:t>
      </w:r>
    </w:p>
    <w:p>
      <w:pPr>
        <w:pStyle w:val="Normal"/>
        <w:spacing w:before="0" w:after="80"/>
        <w:ind w:hanging="283" w:left="850"/>
        <w:rPr/>
      </w:pPr>
      <w:r>
        <w:rPr>
          <w:color w:val="3A3A3A"/>
          <w:sz w:val="22"/>
        </w:rPr>
        <w:t xml:space="preserve">•  </w:t>
      </w:r>
      <w:r>
        <w:rPr>
          <w:color w:val="3A3A3A"/>
          <w:sz w:val="22"/>
        </w:rPr>
        <w:t>Partager une configuration entre utilisateurs</w:t>
      </w:r>
    </w:p>
    <w:p>
      <w:pPr>
        <w:pStyle w:val="Normal"/>
        <w:spacing w:before="0" w:after="80"/>
        <w:ind w:hanging="283" w:left="850"/>
        <w:rPr/>
      </w:pPr>
      <w:r>
        <w:rPr>
          <w:color w:val="3A3A3A"/>
          <w:sz w:val="22"/>
        </w:rPr>
        <w:t xml:space="preserve">•  </w:t>
      </w:r>
      <w:r>
        <w:rPr>
          <w:color w:val="3A3A3A"/>
          <w:sz w:val="22"/>
        </w:rPr>
        <w:t>Archiver les paramètres d'un traitement passé</w:t>
      </w:r>
    </w:p>
    <w:p>
      <w:pPr>
        <w:pStyle w:val="Heading2"/>
        <w:rPr/>
      </w:pPr>
      <w:bookmarkStart w:id="31" w:name="__RefHeading___Toc3937_1193836322"/>
      <w:bookmarkEnd w:id="31"/>
      <w:r>
        <w:rPr>
          <w:rFonts w:ascii="Segoe UI" w:hAnsi="Segoe UI"/>
          <w:b/>
          <w:color w:val="1F2E5E"/>
          <w:sz w:val="32"/>
        </w:rPr>
        <w:t>5.4 Mode Simple / Expert</w:t>
      </w:r>
    </w:p>
    <w:p>
      <w:pPr>
        <w:pStyle w:val="Normal"/>
        <w:spacing w:lineRule="exact" w:line="320" w:before="0" w:after="160"/>
        <w:rPr/>
      </w:pPr>
      <w:r>
        <w:rPr>
          <w:color w:val="3A3A3A"/>
          <w:sz w:val="22"/>
        </w:rPr>
        <w:t>La liste déroulante Mode en haut de la fenêtre bascule entre deux niveaux de configuration :</w:t>
      </w:r>
    </w:p>
    <w:p>
      <w:pPr>
        <w:pStyle w:val="Normal"/>
        <w:spacing w:before="0" w:after="80"/>
        <w:ind w:hanging="283" w:left="850"/>
        <w:rPr/>
      </w:pPr>
      <w:r>
        <w:rPr>
          <w:color w:val="3A3A3A"/>
          <w:sz w:val="22"/>
        </w:rPr>
        <w:t xml:space="preserve">•  </w:t>
      </w:r>
      <w:r>
        <w:rPr>
          <w:color w:val="3A3A3A"/>
          <w:sz w:val="22"/>
        </w:rPr>
        <w:t>Simple : seuls les paramètres essentiels sont visibles</w:t>
      </w:r>
    </w:p>
    <w:p>
      <w:pPr>
        <w:pStyle w:val="Normal"/>
        <w:spacing w:before="0" w:after="80"/>
        <w:ind w:hanging="283" w:left="850"/>
        <w:rPr/>
      </w:pPr>
      <w:r>
        <w:rPr>
          <w:color w:val="3A3A3A"/>
          <w:sz w:val="22"/>
        </w:rPr>
        <w:t xml:space="preserve">•  </w:t>
      </w:r>
      <w:r>
        <w:rPr>
          <w:color w:val="3A3A3A"/>
          <w:sz w:val="22"/>
        </w:rPr>
        <w:t>Expert : tous les paramètres sont accessibles (résolutions, paramètres RVT, options CV avancées, performances)</w:t>
      </w:r>
    </w:p>
    <w:p>
      <w:pPr>
        <w:pStyle w:val="Normal"/>
        <w:rPr/>
      </w:pPr>
      <w:r>
        <w:rPr/>
      </w:r>
      <w:r>
        <w:br w:type="page"/>
      </w:r>
    </w:p>
    <w:p>
      <w:pPr>
        <w:pStyle w:val="Heading1"/>
        <w:pBdr>
          <w:left w:val="single" w:sz="36" w:space="10" w:color="000091"/>
        </w:pBdr>
        <w:spacing w:before="0" w:after="120"/>
        <w:ind w:left="170"/>
        <w:rPr/>
      </w:pPr>
      <w:bookmarkStart w:id="32" w:name="__RefHeading___Toc3939_1193836322"/>
      <w:bookmarkEnd w:id="32"/>
      <w:r>
        <w:rPr>
          <w:rFonts w:ascii="Segoe UI" w:hAnsi="Segoe UI"/>
          <w:b/>
          <w:color w:val="000091"/>
          <w:sz w:val="44"/>
        </w:rPr>
        <w:t xml:space="preserve">🎯  </w:t>
      </w:r>
      <w:r>
        <w:rPr>
          <w:rFonts w:ascii="Segoe UI" w:hAnsi="Segoe UI"/>
          <w:b/>
          <w:color w:val="000091"/>
          <w:sz w:val="44"/>
        </w:rPr>
        <w:t>6. Détection automatique par IA</w:t>
      </w:r>
    </w:p>
    <w:p>
      <w:pPr>
        <w:pStyle w:val="Normal"/>
        <w:pBdr>
          <w:bottom w:val="single" w:sz="12" w:space="1" w:color="6A6AF4"/>
        </w:pBdr>
        <w:spacing w:before="0" w:after="120"/>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6A6AF4"/>
              <w:left w:val="single" w:sz="4" w:space="0" w:color="6A6AF4"/>
              <w:bottom w:val="single" w:sz="4" w:space="0" w:color="6A6AF4"/>
              <w:right w:val="single" w:sz="4" w:space="0" w:color="6A6AF4"/>
            </w:tcBorders>
            <w:shd w:fill="F2F2FE" w:val="clear"/>
          </w:tcPr>
          <w:p>
            <w:pPr>
              <w:pStyle w:val="Normal"/>
              <w:spacing w:before="40" w:after="80"/>
              <w:rPr/>
            </w:pPr>
            <w:r>
              <w:rPr>
                <w:b/>
                <w:color w:val="000091"/>
                <w:sz w:val="20"/>
              </w:rPr>
              <w:t xml:space="preserve">👁️  </w:t>
            </w:r>
            <w:r>
              <w:rPr>
                <w:b/>
                <w:color w:val="000091"/>
                <w:sz w:val="20"/>
              </w:rPr>
              <w:t>EN UN COUP D'ŒIL</w:t>
            </w:r>
            <w:r>
              <w:rPr>
                <w:i/>
                <w:color w:val="666666"/>
                <w:sz w:val="18"/>
              </w:rPr>
              <w:t xml:space="preserve">   •   ⏱ 8 min de lecture</w:t>
            </w:r>
          </w:p>
          <w:p>
            <w:pPr>
              <w:pStyle w:val="Normal"/>
              <w:spacing w:before="20" w:after="20"/>
              <w:ind w:left="170"/>
              <w:rPr/>
            </w:pPr>
            <w:r>
              <w:rPr>
                <w:b/>
                <w:color w:val="6A6AF4"/>
                <w:sz w:val="21"/>
              </w:rPr>
              <w:t xml:space="preserve">•  </w:t>
            </w:r>
            <w:r>
              <w:rPr>
                <w:color w:val="3A3A3A"/>
                <w:sz w:val="21"/>
              </w:rPr>
              <w:t>Principe de la détection automatique par IA</w:t>
            </w:r>
          </w:p>
          <w:p>
            <w:pPr>
              <w:pStyle w:val="Normal"/>
              <w:spacing w:before="20" w:after="20"/>
              <w:ind w:left="170"/>
              <w:rPr/>
            </w:pPr>
            <w:r>
              <w:rPr>
                <w:b/>
                <w:color w:val="6A6AF4"/>
                <w:sz w:val="21"/>
              </w:rPr>
              <w:t xml:space="preserve">•  </w:t>
            </w:r>
            <w:r>
              <w:rPr>
                <w:color w:val="3A3A3A"/>
                <w:sz w:val="21"/>
              </w:rPr>
              <w:t>Configurer plusieurs runs en parallèle</w:t>
            </w:r>
          </w:p>
          <w:p>
            <w:pPr>
              <w:pStyle w:val="Normal"/>
              <w:spacing w:before="20" w:after="20"/>
              <w:ind w:left="170"/>
              <w:rPr/>
            </w:pPr>
            <w:r>
              <w:rPr>
                <w:b/>
                <w:color w:val="6A6AF4"/>
                <w:sz w:val="21"/>
              </w:rPr>
              <w:t xml:space="preserve">•  </w:t>
            </w:r>
            <w:r>
              <w:rPr>
                <w:color w:val="3A3A3A"/>
                <w:sz w:val="21"/>
              </w:rPr>
              <w:t>Sélectionner les classes à détecter</w:t>
            </w:r>
          </w:p>
          <w:p>
            <w:pPr>
              <w:pStyle w:val="Normal"/>
              <w:spacing w:before="20" w:after="20"/>
              <w:ind w:left="170"/>
              <w:rPr/>
            </w:pPr>
            <w:r>
              <w:rPr>
                <w:b/>
                <w:color w:val="6A6AF4"/>
                <w:sz w:val="21"/>
              </w:rPr>
              <w:t xml:space="preserve">•  </w:t>
            </w:r>
            <w:r>
              <w:rPr>
                <w:color w:val="3A3A3A"/>
                <w:sz w:val="21"/>
              </w:rPr>
              <w:t>Paramètres clés : seuils, SAHI</w:t>
            </w:r>
          </w:p>
        </w:tc>
      </w:tr>
    </w:tbl>
    <w:p>
      <w:pPr>
        <w:pStyle w:val="Normal"/>
        <w:rPr/>
      </w:pPr>
      <w:r>
        <w:rPr/>
      </w:r>
    </w:p>
    <w:p>
      <w:pPr>
        <w:pStyle w:val="Normal"/>
        <w:spacing w:lineRule="exact" w:line="320" w:before="0" w:after="160"/>
        <w:rPr/>
      </w:pPr>
      <w:r>
        <w:rPr>
          <w:color w:val="3A3A3A"/>
          <w:sz w:val="22"/>
        </w:rPr>
        <w:t>La Computer Vision (CV) utilise des modèles d'intelligence artificielle pour détecter automatiquement des entités archéologiques dans les indices de visualisation.</w:t>
      </w:r>
    </w:p>
    <w:p>
      <w:pPr>
        <w:pStyle w:val="Heading2"/>
        <w:rPr/>
      </w:pPr>
      <w:bookmarkStart w:id="33" w:name="__RefHeading___Toc3941_1193836322"/>
      <w:bookmarkEnd w:id="33"/>
      <w:r>
        <w:rPr>
          <w:rFonts w:ascii="Segoe UI" w:hAnsi="Segoe UI"/>
          <w:b/>
          <w:color w:val="1F2E5E"/>
          <w:sz w:val="32"/>
        </w:rPr>
        <w:t>6.1 Activation</w:t>
      </w:r>
    </w:p>
    <w:p>
      <w:pPr>
        <w:pStyle w:val="Normal"/>
        <w:spacing w:lineRule="exact" w:line="320" w:before="0" w:after="160"/>
        <w:rPr/>
      </w:pPr>
      <w:r>
        <w:rPr>
          <w:color w:val="3A3A3A"/>
          <w:sz w:val="22"/>
        </w:rPr>
        <w:t>Dans la section Détection automatique, cocher Activer la Computer Vision.</w:t>
      </w:r>
    </w:p>
    <w:p>
      <w:pPr>
        <w:pStyle w:val="Heading2"/>
        <w:rPr/>
      </w:pPr>
      <w:bookmarkStart w:id="34" w:name="__RefHeading___Toc3943_1193836322"/>
      <w:bookmarkEnd w:id="34"/>
      <w:r>
        <w:rPr>
          <w:rFonts w:ascii="Segoe UI" w:hAnsi="Segoe UI"/>
          <w:b/>
          <w:color w:val="1F2E5E"/>
          <w:sz w:val="32"/>
        </w:rPr>
        <w:t>6.2 Configuration des runs</w:t>
      </w:r>
    </w:p>
    <w:p>
      <w:pPr>
        <w:pStyle w:val="Normal"/>
        <w:spacing w:lineRule="exact" w:line="320" w:before="0" w:after="160"/>
        <w:rPr/>
      </w:pPr>
      <w:r>
        <w:rPr>
          <w:color w:val="3A3A3A"/>
          <w:sz w:val="22"/>
        </w:rPr>
        <w:t>Le plugin permet de configurer plusieurs runs de détection en parallèle. Chaque run associe :</w:t>
      </w:r>
    </w:p>
    <w:p>
      <w:pPr>
        <w:pStyle w:val="Normal"/>
        <w:spacing w:before="0" w:after="80"/>
        <w:ind w:hanging="283" w:left="850"/>
        <w:rPr/>
      </w:pPr>
      <w:r>
        <w:rPr>
          <w:color w:val="3A3A3A"/>
          <w:sz w:val="22"/>
        </w:rPr>
        <w:t xml:space="preserve">•  </w:t>
      </w:r>
      <w:r>
        <w:rPr>
          <w:color w:val="3A3A3A"/>
          <w:sz w:val="22"/>
        </w:rPr>
        <w:t>Un modèle IA</w:t>
      </w:r>
    </w:p>
    <w:p>
      <w:pPr>
        <w:pStyle w:val="Normal"/>
        <w:spacing w:before="0" w:after="80"/>
        <w:ind w:hanging="283" w:left="850"/>
        <w:rPr/>
      </w:pPr>
      <w:r>
        <w:rPr>
          <w:color w:val="3A3A3A"/>
          <w:sz w:val="22"/>
        </w:rPr>
        <w:t xml:space="preserve">•  </w:t>
      </w:r>
      <w:r>
        <w:rPr>
          <w:color w:val="3A3A3A"/>
          <w:sz w:val="22"/>
        </w:rPr>
        <w:t>Un indice RVT cible (le raster sur lequel le modèle s'applique)</w:t>
      </w:r>
    </w:p>
    <w:p>
      <w:pPr>
        <w:pStyle w:val="Normal"/>
        <w:spacing w:lineRule="exact" w:line="320" w:before="0" w:after="160"/>
        <w:rPr/>
      </w:pPr>
      <w:r>
        <w:rPr>
          <w:color w:val="3A3A3A"/>
          <w:sz w:val="22"/>
        </w:rPr>
        <w:t>Pour ajouter un run : cliquer sur + Ajouter un run</w:t>
      </w:r>
    </w:p>
    <w:p>
      <w:pPr>
        <w:pStyle w:val="Normal"/>
        <w:spacing w:lineRule="exact" w:line="320" w:before="0" w:after="160"/>
        <w:rPr>
          <w:color w:val="3A3A3A"/>
          <w:sz w:val="22"/>
        </w:rPr>
      </w:pPr>
      <w:r>
        <w:rPr>
          <w:color w:val="3A3A3A"/>
          <w:sz w:val="22"/>
        </w:rPr>
        <w:t>Pour supprimer un run : sélectionner la ligne et cliquer sur Supprimer</w:t>
      </w:r>
    </w:p>
    <w:p>
      <w:pPr>
        <w:pStyle w:val="Normal"/>
        <w:spacing w:lineRule="exact" w:line="320" w:before="0" w:after="160"/>
        <w:rPr>
          <w:i/>
          <w:i/>
          <w:color w:val="666666"/>
          <w:sz w:val="19"/>
        </w:rPr>
      </w:pPr>
      <w:r>
        <w:rPr>
          <w:i/>
          <w:color w:val="666666"/>
          <w:sz w:val="19"/>
        </w:rPr>
        <w:drawing>
          <wp:anchor behindDoc="0" distT="0" distB="0" distL="0" distR="0" simplePos="0" locked="0" layoutInCell="0" allowOverlap="1" relativeHeight="17">
            <wp:simplePos x="0" y="0"/>
            <wp:positionH relativeFrom="column">
              <wp:posOffset>537210</wp:posOffset>
            </wp:positionH>
            <wp:positionV relativeFrom="paragraph">
              <wp:posOffset>136525</wp:posOffset>
            </wp:positionV>
            <wp:extent cx="5676265" cy="1692275"/>
            <wp:effectExtent l="0" t="0" r="0" b="0"/>
            <wp:wrapSquare wrapText="largest"/>
            <wp:docPr id="16"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 descr=""/>
                    <pic:cNvPicPr>
                      <a:picLocks noChangeAspect="1" noChangeArrowheads="1"/>
                    </pic:cNvPicPr>
                  </pic:nvPicPr>
                  <pic:blipFill>
                    <a:blip r:embed="rId17"/>
                    <a:stretch>
                      <a:fillRect/>
                    </a:stretch>
                  </pic:blipFill>
                  <pic:spPr bwMode="auto">
                    <a:xfrm>
                      <a:off x="0" y="0"/>
                      <a:ext cx="5676265" cy="1692275"/>
                    </a:xfrm>
                    <a:prstGeom prst="rect">
                      <a:avLst/>
                    </a:prstGeom>
                    <a:noFill/>
                  </pic:spPr>
                </pic:pic>
              </a:graphicData>
            </a:graphic>
          </wp:anchor>
        </w:drawing>
      </w:r>
    </w:p>
    <w:p>
      <w:pPr>
        <w:pStyle w:val="Normal"/>
        <w:spacing w:lineRule="exact" w:line="320" w:before="0" w:after="160"/>
        <w:rPr>
          <w:i/>
          <w:i/>
          <w:color w:val="666666"/>
          <w:sz w:val="19"/>
        </w:rPr>
      </w:pPr>
      <w:r>
        <w:rPr>
          <w:i/>
          <w:color w:val="666666"/>
          <w:sz w:val="19"/>
        </w:rPr>
      </w:r>
    </w:p>
    <w:p>
      <w:pPr>
        <w:pStyle w:val="Normal"/>
        <w:spacing w:lineRule="exact" w:line="320" w:before="0" w:after="160"/>
        <w:rPr>
          <w:i/>
          <w:i/>
          <w:color w:val="666666"/>
          <w:sz w:val="19"/>
        </w:rPr>
      </w:pPr>
      <w:r>
        <w:rPr>
          <w:i/>
          <w:color w:val="666666"/>
          <w:sz w:val="19"/>
        </w:rPr>
      </w:r>
    </w:p>
    <w:p>
      <w:pPr>
        <w:pStyle w:val="Normal"/>
        <w:spacing w:lineRule="exact" w:line="320" w:before="0" w:after="160"/>
        <w:rPr>
          <w:i/>
          <w:i/>
          <w:color w:val="666666"/>
          <w:sz w:val="19"/>
        </w:rPr>
      </w:pPr>
      <w:r>
        <w:rPr>
          <w:i/>
          <w:color w:val="666666"/>
          <w:sz w:val="19"/>
        </w:rPr>
      </w:r>
    </w:p>
    <w:p>
      <w:pPr>
        <w:pStyle w:val="Heading2"/>
        <w:rPr/>
      </w:pPr>
      <w:bookmarkStart w:id="35" w:name="__RefHeading___Toc3945_1193836322"/>
      <w:bookmarkEnd w:id="35"/>
      <w:r>
        <w:rPr>
          <w:rFonts w:ascii="Segoe UI" w:hAnsi="Segoe UI"/>
          <w:b/>
          <w:color w:val="1F2E5E"/>
          <w:sz w:val="32"/>
        </w:rPr>
        <w:t>6.3 Sélection des classes</w:t>
      </w:r>
    </w:p>
    <w:p>
      <w:pPr>
        <w:pStyle w:val="Normal"/>
        <w:spacing w:lineRule="exact" w:line="320" w:before="0" w:after="160"/>
        <w:rPr/>
      </w:pPr>
      <w:r>
        <w:rPr>
          <w:color w:val="3A3A3A"/>
          <w:sz w:val="22"/>
        </w:rPr>
        <w:t>Pour chaque run, une liste des classes détectables par le modèle s'affiche. Décocher une classe l'exclut des résultats.</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E3E3FD"/>
              <w:left w:val="single" w:sz="18" w:space="0" w:color="000091"/>
              <w:bottom w:val="single" w:sz="4" w:space="0" w:color="E3E3FD"/>
              <w:right w:val="single" w:sz="4" w:space="0" w:color="E3E3FD"/>
            </w:tcBorders>
            <w:shd w:fill="E3E3FD" w:val="clear"/>
          </w:tcPr>
          <w:p>
            <w:pPr>
              <w:pStyle w:val="Normal"/>
              <w:widowControl/>
              <w:bidi w:val="0"/>
              <w:spacing w:lineRule="auto" w:line="324" w:before="0" w:after="200"/>
              <w:jc w:val="left"/>
              <w:rPr/>
            </w:pPr>
            <w:r>
              <w:rPr>
                <w:b/>
                <w:color w:val="6A6AF4"/>
                <w:sz w:val="21"/>
              </w:rPr>
              <w:t xml:space="preserve">💡 </w:t>
            </w:r>
            <w:r>
              <w:rPr>
                <w:b/>
                <w:color w:val="6A6AF4"/>
                <w:sz w:val="21"/>
              </w:rPr>
              <w:t xml:space="preserve">Conseil — </w:t>
            </w:r>
            <w:r>
              <w:rPr>
                <w:color w:val="000091"/>
                <w:sz w:val="21"/>
              </w:rPr>
              <w:t>Si toutes les classes sont décochées pour un run, l'inférence est complètement ignorée pour ce run (gain de temps).</w:t>
            </w:r>
          </w:p>
        </w:tc>
      </w:tr>
    </w:tbl>
    <w:p>
      <w:pPr>
        <w:pStyle w:val="Normal"/>
        <w:rPr/>
      </w:pPr>
      <w:r>
        <w:rPr/>
        <w:drawing>
          <wp:anchor behindDoc="0" distT="0" distB="0" distL="0" distR="0" simplePos="0" locked="0" layoutInCell="0" allowOverlap="1" relativeHeight="18">
            <wp:simplePos x="0" y="0"/>
            <wp:positionH relativeFrom="column">
              <wp:posOffset>106045</wp:posOffset>
            </wp:positionH>
            <wp:positionV relativeFrom="paragraph">
              <wp:posOffset>224790</wp:posOffset>
            </wp:positionV>
            <wp:extent cx="6120130" cy="1626235"/>
            <wp:effectExtent l="0" t="0" r="0" b="0"/>
            <wp:wrapSquare wrapText="largest"/>
            <wp:docPr id="17"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8" descr=""/>
                    <pic:cNvPicPr>
                      <a:picLocks noChangeAspect="1" noChangeArrowheads="1"/>
                    </pic:cNvPicPr>
                  </pic:nvPicPr>
                  <pic:blipFill>
                    <a:blip r:embed="rId18"/>
                    <a:stretch>
                      <a:fillRect/>
                    </a:stretch>
                  </pic:blipFill>
                  <pic:spPr bwMode="auto">
                    <a:xfrm>
                      <a:off x="0" y="0"/>
                      <a:ext cx="6120130" cy="1626235"/>
                    </a:xfrm>
                    <a:prstGeom prst="rect">
                      <a:avLst/>
                    </a:prstGeom>
                    <a:noFill/>
                  </pic:spPr>
                </pic:pic>
              </a:graphicData>
            </a:graphic>
          </wp:anchor>
        </w:drawing>
      </w:r>
    </w:p>
    <w:p>
      <w:pPr>
        <w:pStyle w:val="Heading2"/>
        <w:rPr/>
      </w:pPr>
      <w:bookmarkStart w:id="36" w:name="__RefHeading___Toc3947_1193836322"/>
      <w:bookmarkEnd w:id="36"/>
      <w:r>
        <w:rPr>
          <w:rFonts w:ascii="Segoe UI" w:hAnsi="Segoe UI"/>
          <w:b/>
          <w:color w:val="1F2E5E"/>
          <w:sz w:val="32"/>
        </w:rPr>
        <w:t>6.4 Paramètres principaux</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Paramètre</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Description</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Valeur par défaut</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Seuil de confiance</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Score minimum pour qu'une détection soit conservée (0–1)</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0.3</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Seuil IOU</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Seuil de recouvrement pour la suppression des doublons</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0.5</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Images annotées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Générer des PNG avec les détections superposées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Non</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Geopackage</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 xml:space="preserve">Générer </w:t>
            </w:r>
            <w:r>
              <w:rPr>
                <w:color w:val="3A3A3A"/>
                <w:sz w:val="20"/>
              </w:rPr>
              <w:t>un geopackage conprenant l’ensemble des détections</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Oui</w:t>
            </w:r>
          </w:p>
        </w:tc>
      </w:tr>
    </w:tbl>
    <w:p>
      <w:pPr>
        <w:pStyle w:val="Normal"/>
        <w:rPr/>
      </w:pPr>
      <w:r>
        <w:rPr/>
      </w:r>
    </w:p>
    <w:p>
      <w:pPr>
        <w:pStyle w:val="Heading2"/>
        <w:rPr>
          <w:rFonts w:ascii="Segoe UI" w:hAnsi="Segoe UI"/>
          <w:b/>
          <w:color w:val="1F2E5E"/>
          <w:sz w:val="32"/>
        </w:rPr>
      </w:pPr>
      <w:r>
        <w:rPr>
          <w:rFonts w:ascii="Segoe UI" w:hAnsi="Segoe UI"/>
          <w:b/>
          <w:color w:val="1F2E5E"/>
          <w:sz w:val="32"/>
        </w:rPr>
      </w:r>
    </w:p>
    <w:p>
      <w:pPr>
        <w:pStyle w:val="Heading2"/>
        <w:rPr>
          <w:rFonts w:ascii="Segoe UI" w:hAnsi="Segoe UI"/>
          <w:b/>
          <w:color w:val="1F2E5E"/>
          <w:sz w:val="32"/>
        </w:rPr>
      </w:pPr>
      <w:bookmarkStart w:id="37" w:name="__RefHeading___Toc3949_1193836322"/>
      <w:bookmarkEnd w:id="37"/>
      <w:r>
        <w:rPr>
          <w:rFonts w:ascii="Segoe UI" w:hAnsi="Segoe UI"/>
          <w:b/>
          <w:color w:val="1F2E5E"/>
          <w:sz w:val="32"/>
        </w:rPr>
        <w:t>6.5 Résultats de la CV</w:t>
      </w:r>
    </w:p>
    <w:p>
      <w:pPr>
        <w:pStyle w:val="Normal"/>
        <w:spacing w:lineRule="exact" w:line="320" w:before="0" w:after="160"/>
        <w:rPr/>
      </w:pPr>
      <w:r>
        <w:rPr>
          <w:color w:val="3A3A3A"/>
          <w:sz w:val="22"/>
        </w:rPr>
        <w:t>À la fin du traitement, les résultats de détection sont disponibles sous forme :</w:t>
      </w:r>
    </w:p>
    <w:p>
      <w:pPr>
        <w:pStyle w:val="Normal"/>
        <w:spacing w:before="0" w:after="80"/>
        <w:ind w:hanging="283" w:left="850"/>
        <w:rPr/>
      </w:pPr>
      <w:r>
        <w:rPr>
          <w:color w:val="3A3A3A"/>
          <w:sz w:val="22"/>
        </w:rPr>
        <w:t xml:space="preserve">•  </w:t>
      </w:r>
      <w:r>
        <w:rPr>
          <w:color w:val="3A3A3A"/>
          <w:sz w:val="22"/>
        </w:rPr>
        <w:t>1 geopackage regroupant l’ensemble des</w:t>
      </w:r>
      <w:r>
        <w:rPr>
          <w:color w:val="3A3A3A"/>
          <w:sz w:val="22"/>
        </w:rPr>
        <w:t xml:space="preserve"> classe</w:t>
      </w:r>
      <w:r>
        <w:rPr>
          <w:color w:val="3A3A3A"/>
          <w:sz w:val="22"/>
        </w:rPr>
        <w:t xml:space="preserve">s </w:t>
      </w:r>
      <w:r>
        <w:rPr>
          <w:color w:val="3A3A3A"/>
          <w:sz w:val="22"/>
        </w:rPr>
        <w:t>: un fichier .</w:t>
      </w:r>
      <w:r>
        <w:rPr>
          <w:color w:val="3A3A3A"/>
          <w:sz w:val="22"/>
        </w:rPr>
        <w:t>gpkg</w:t>
      </w:r>
      <w:r>
        <w:rPr>
          <w:color w:val="3A3A3A"/>
          <w:sz w:val="22"/>
        </w:rPr>
        <w:t xml:space="preserve"> </w:t>
      </w:r>
      <w:r>
        <w:rPr>
          <w:color w:val="3A3A3A"/>
          <w:sz w:val="22"/>
        </w:rPr>
        <w:t>pour toutes les</w:t>
      </w:r>
      <w:r>
        <w:rPr>
          <w:color w:val="3A3A3A"/>
          <w:sz w:val="22"/>
        </w:rPr>
        <w:t xml:space="preserve"> classe</w:t>
      </w:r>
      <w:r>
        <w:rPr>
          <w:color w:val="3A3A3A"/>
          <w:sz w:val="22"/>
        </w:rPr>
        <w:t xml:space="preserve">s </w:t>
      </w:r>
      <w:r>
        <w:rPr>
          <w:color w:val="3A3A3A"/>
          <w:sz w:val="22"/>
        </w:rPr>
        <w:t>détectée</w:t>
      </w:r>
      <w:r>
        <w:rPr>
          <w:color w:val="3A3A3A"/>
          <w:sz w:val="22"/>
        </w:rPr>
        <w:t>s</w:t>
      </w:r>
      <w:r>
        <w:rPr>
          <w:color w:val="3A3A3A"/>
          <w:sz w:val="22"/>
        </w:rPr>
        <w:t>, avec les attributs confidence, class_name, area_m2</w:t>
      </w:r>
    </w:p>
    <w:p>
      <w:pPr>
        <w:pStyle w:val="Normal"/>
        <w:spacing w:before="0" w:after="80"/>
        <w:ind w:hanging="283" w:left="850"/>
        <w:rPr/>
      </w:pPr>
      <w:r>
        <w:rPr>
          <w:color w:val="3A3A3A"/>
          <w:sz w:val="22"/>
        </w:rPr>
        <w:t xml:space="preserve">•  </w:t>
      </w:r>
      <w:r>
        <w:rPr>
          <w:color w:val="3A3A3A"/>
          <w:sz w:val="22"/>
        </w:rPr>
        <w:t>Projet QGIS consolidé : detections_validation.qgs à la racine du dossier de sortie, avec toutes les couches de détection chargées et stylées avec une couleur distincte par classe</w:t>
      </w:r>
    </w:p>
    <w:p>
      <w:pPr>
        <w:pStyle w:val="Normal"/>
        <w:spacing w:before="0" w:after="80"/>
        <w:ind w:hanging="283" w:left="850"/>
        <w:rPr/>
      </w:pPr>
      <w:r>
        <w:rPr>
          <w:color w:val="3A3A3A"/>
          <w:sz w:val="22"/>
        </w:rPr>
        <w:t xml:space="preserve">•  </w:t>
      </w:r>
      <w:r>
        <w:rPr>
          <w:color w:val="3A3A3A"/>
          <w:sz w:val="22"/>
        </w:rPr>
        <w:t>Images annotées (optionnel) : PNG avec les détections dessinées en surimpression</w:t>
      </w:r>
    </w:p>
    <w:p>
      <w:pPr>
        <w:pStyle w:val="Heading2"/>
        <w:rPr/>
      </w:pPr>
      <w:bookmarkStart w:id="38" w:name="__RefHeading___Toc3951_1193836322"/>
      <w:bookmarkEnd w:id="38"/>
      <w:r>
        <w:rPr>
          <w:rFonts w:ascii="Segoe UI" w:hAnsi="Segoe UI"/>
          <w:b/>
          <w:color w:val="1F2E5E"/>
          <w:sz w:val="32"/>
        </w:rPr>
        <w:t>6.6 Modèles fournis par défaut</w:t>
      </w:r>
    </w:p>
    <w:p>
      <w:pPr>
        <w:pStyle w:val="Normal"/>
        <w:spacing w:lineRule="exact" w:line="320" w:before="0" w:after="160"/>
        <w:rPr/>
      </w:pPr>
      <w:r>
        <w:rPr>
          <w:color w:val="3A3A3A"/>
          <w:sz w:val="22"/>
        </w:rPr>
        <w:t>Trois modèles pré-entraînés sont fournis dans data/models/. Chacun s'applique à un indice RVT précis et détecte des classes spécifiques.</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493"/>
        <w:gridCol w:w="2493"/>
        <w:gridCol w:w="2493"/>
        <w:gridCol w:w="2492"/>
      </w:tblGrid>
      <w:tr>
        <w:trPr/>
        <w:tc>
          <w:tcPr>
            <w:tcW w:w="2493"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Modèle</w:t>
            </w:r>
          </w:p>
        </w:tc>
        <w:tc>
          <w:tcPr>
            <w:tcW w:w="2493"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Indice cible</w:t>
            </w:r>
          </w:p>
        </w:tc>
        <w:tc>
          <w:tcPr>
            <w:tcW w:w="2493"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Classes détectées</w:t>
            </w:r>
          </w:p>
        </w:tc>
        <w:tc>
          <w:tcPr>
            <w:tcW w:w="2492"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Particularité</w:t>
            </w:r>
          </w:p>
        </w:tc>
      </w:tr>
      <w:tr>
        <w:trPr/>
        <w:tc>
          <w:tcPr>
            <w:tcW w:w="2493"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formes_lineaires_ld_a15_rmin10_rm_rfdetr_seg_1</w:t>
            </w:r>
          </w:p>
        </w:tc>
        <w:tc>
          <w:tcPr>
            <w:tcW w:w="2493"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LD (A15, Rmin10)</w:t>
            </w:r>
          </w:p>
        </w:tc>
        <w:tc>
          <w:tcPr>
            <w:tcW w:w="2493"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chemin_creux, parcellaire, talus-fosse_fossebutte</w:t>
            </w:r>
          </w:p>
        </w:tc>
        <w:tc>
          <w:tcPr>
            <w:tcW w:w="2492"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RF-DETR-Seg, segmentation d'instances</w:t>
            </w:r>
          </w:p>
        </w:tc>
      </w:tr>
      <w:tr>
        <w:trPr/>
        <w:tc>
          <w:tcPr>
            <w:tcW w:w="2493"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run_rf_detr_1</w:t>
            </w:r>
          </w:p>
        </w:tc>
        <w:tc>
          <w:tcPr>
            <w:tcW w:w="2493"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LD (A15, Rmin10)</w:t>
            </w:r>
          </w:p>
        </w:tc>
        <w:tc>
          <w:tcPr>
            <w:tcW w:w="2493"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charbonnière, circular_depression, four</w:t>
            </w:r>
          </w:p>
        </w:tc>
        <w:tc>
          <w:tcPr>
            <w:tcW w:w="2492"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Détection de structures ponctuelles</w:t>
            </w:r>
          </w:p>
        </w:tc>
      </w:tr>
      <w:tr>
        <w:trPr/>
        <w:tc>
          <w:tcPr>
            <w:tcW w:w="2493"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verdun_3_classes_1</w:t>
            </w:r>
          </w:p>
        </w:tc>
        <w:tc>
          <w:tcPr>
            <w:tcW w:w="2493"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SVF</w:t>
            </w:r>
            <w:r>
              <w:rPr/>
              <w:t xml:space="preserve"> </w:t>
            </w:r>
            <w:r>
              <w:rPr>
                <w:sz w:val="20"/>
                <w:szCs w:val="20"/>
              </w:rPr>
              <w:t>(D16, Rmax10)</w:t>
            </w:r>
          </w:p>
        </w:tc>
        <w:tc>
          <w:tcPr>
            <w:tcW w:w="2493"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abri, cratere_obus, tranchees_et_boyaux</w:t>
            </w:r>
          </w:p>
        </w:tc>
        <w:tc>
          <w:tcPr>
            <w:tcW w:w="2492"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Clustering des cratères → zone_crateres</w:t>
            </w:r>
          </w:p>
        </w:tc>
      </w:tr>
    </w:tbl>
    <w:p>
      <w:pPr>
        <w:pStyle w:val="Normal"/>
        <w:rPr/>
      </w:pPr>
      <w:r>
        <w:rPr/>
      </w:r>
    </w:p>
    <w:p>
      <w:pPr>
        <w:pStyle w:val="Normal"/>
        <w:spacing w:before="40" w:after="80"/>
        <w:jc w:val="center"/>
        <w:rPr/>
      </w:pPr>
      <w:r>
        <w:rPr>
          <w:b/>
          <w:i/>
          <w:color w:val="1F2E5E"/>
          <w:sz w:val="19"/>
        </w:rPr>
        <w:t xml:space="preserve">Tableau </w:t>
      </w:r>
      <w:r>
        <w:rPr/>
        <w:fldChar w:fldCharType="begin"/>
      </w:r>
      <w:r>
        <w:rPr/>
        <w:instrText xml:space="preserve"> SEQ Tableau \* ARABIC </w:instrText>
      </w:r>
      <w:r>
        <w:rPr/>
        <w:fldChar w:fldCharType="separate"/>
      </w:r>
      <w:r>
        <w:rPr/>
        <w:t>1</w:t>
      </w:r>
      <w:r>
        <w:rPr/>
        <w:fldChar w:fldCharType="end"/>
      </w:r>
      <w:r>
        <w:rPr>
          <w:i/>
          <w:color w:val="666666"/>
          <w:sz w:val="19"/>
        </w:rPr>
        <w:t xml:space="preserve">  —  Modèles fournis avec le plugin</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E8F1FA"/>
              <w:left w:val="single" w:sz="18" w:space="0" w:color="0063CB"/>
              <w:bottom w:val="single" w:sz="4" w:space="0" w:color="E8F1FA"/>
              <w:right w:val="single" w:sz="4" w:space="0" w:color="E8F1FA"/>
            </w:tcBorders>
            <w:shd w:fill="E8F1FA" w:val="clear"/>
          </w:tcPr>
          <w:p>
            <w:pPr>
              <w:pStyle w:val="Normal"/>
              <w:widowControl/>
              <w:bidi w:val="0"/>
              <w:spacing w:lineRule="auto" w:line="324" w:before="0" w:after="200"/>
              <w:jc w:val="left"/>
              <w:rPr/>
            </w:pPr>
            <w:r>
              <w:rPr>
                <w:b/>
                <w:color w:val="0063CB"/>
                <w:sz w:val="21"/>
              </w:rPr>
              <w:t xml:space="preserve">ℹ️ </w:t>
            </w:r>
            <w:r>
              <w:rPr>
                <w:b/>
                <w:color w:val="0063CB"/>
                <w:sz w:val="21"/>
              </w:rPr>
              <w:t xml:space="preserve">Note — </w:t>
            </w:r>
            <w:r>
              <w:rPr>
                <w:color w:val="0063CB"/>
                <w:sz w:val="21"/>
              </w:rPr>
              <w:t>Lorsque vous ajoutez un run et sélectionnez un modèle, le plugin sélectionne automatiquement le bon indice RVT et l'aire minimale de détection à partir du fichier training_params.json du modèle.</w:t>
            </w:r>
          </w:p>
        </w:tc>
      </w:tr>
    </w:tbl>
    <w:p>
      <w:pPr>
        <w:pStyle w:val="Normal"/>
        <w:rPr/>
      </w:pPr>
      <w:r>
        <w:rPr/>
      </w:r>
    </w:p>
    <w:p>
      <w:pPr>
        <w:pStyle w:val="Normal"/>
        <w:rPr/>
      </w:pPr>
      <w:r>
        <w:rPr/>
      </w:r>
      <w:r>
        <w:br w:type="page"/>
      </w:r>
    </w:p>
    <w:p>
      <w:pPr>
        <w:pStyle w:val="Heading1"/>
        <w:pBdr>
          <w:left w:val="single" w:sz="36" w:space="10" w:color="000091"/>
        </w:pBdr>
        <w:spacing w:before="0" w:after="120"/>
        <w:ind w:left="170"/>
        <w:rPr/>
      </w:pPr>
      <w:bookmarkStart w:id="39" w:name="__RefHeading___Toc3953_1193836322"/>
      <w:bookmarkEnd w:id="39"/>
      <w:r>
        <w:rPr>
          <w:rFonts w:ascii="Segoe UI" w:hAnsi="Segoe UI"/>
          <w:b/>
          <w:color w:val="000091"/>
          <w:sz w:val="44"/>
        </w:rPr>
        <w:t xml:space="preserve">📦  </w:t>
      </w:r>
      <w:r>
        <w:rPr>
          <w:rFonts w:ascii="Segoe UI" w:hAnsi="Segoe UI"/>
          <w:b/>
          <w:color w:val="000091"/>
          <w:sz w:val="44"/>
        </w:rPr>
        <w:t>7. Comprendre les sorties</w:t>
      </w:r>
    </w:p>
    <w:p>
      <w:pPr>
        <w:pStyle w:val="Normal"/>
        <w:pBdr>
          <w:bottom w:val="single" w:sz="12" w:space="1" w:color="6A6AF4"/>
        </w:pBdr>
        <w:spacing w:before="0" w:after="120"/>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6A6AF4"/>
              <w:left w:val="single" w:sz="4" w:space="0" w:color="6A6AF4"/>
              <w:bottom w:val="single" w:sz="4" w:space="0" w:color="6A6AF4"/>
              <w:right w:val="single" w:sz="4" w:space="0" w:color="6A6AF4"/>
            </w:tcBorders>
            <w:shd w:fill="F2F2FE" w:val="clear"/>
          </w:tcPr>
          <w:p>
            <w:pPr>
              <w:pStyle w:val="Normal"/>
              <w:spacing w:before="40" w:after="80"/>
              <w:rPr/>
            </w:pPr>
            <w:r>
              <w:rPr>
                <w:b/>
                <w:color w:val="000091"/>
                <w:sz w:val="20"/>
              </w:rPr>
              <w:t xml:space="preserve">👁️  </w:t>
            </w:r>
            <w:r>
              <w:rPr>
                <w:b/>
                <w:color w:val="000091"/>
                <w:sz w:val="20"/>
              </w:rPr>
              <w:t>EN UN COUP D'ŒIL</w:t>
            </w:r>
            <w:r>
              <w:rPr>
                <w:i/>
                <w:color w:val="666666"/>
                <w:sz w:val="18"/>
              </w:rPr>
              <w:t xml:space="preserve">   •   ⏱ 7 min de lecture</w:t>
            </w:r>
          </w:p>
          <w:p>
            <w:pPr>
              <w:pStyle w:val="Normal"/>
              <w:spacing w:before="20" w:after="20"/>
              <w:ind w:left="170"/>
              <w:rPr/>
            </w:pPr>
            <w:r>
              <w:rPr>
                <w:b/>
                <w:color w:val="6A6AF4"/>
                <w:sz w:val="21"/>
              </w:rPr>
              <w:t xml:space="preserve">•  </w:t>
            </w:r>
            <w:r>
              <w:rPr>
                <w:color w:val="3A3A3A"/>
                <w:sz w:val="21"/>
              </w:rPr>
              <w:t>Arborescence complète du dossier de sortie</w:t>
            </w:r>
          </w:p>
          <w:p>
            <w:pPr>
              <w:pStyle w:val="Normal"/>
              <w:spacing w:before="20" w:after="20"/>
              <w:ind w:left="170"/>
              <w:rPr/>
            </w:pPr>
            <w:r>
              <w:rPr>
                <w:b/>
                <w:color w:val="6A6AF4"/>
                <w:sz w:val="21"/>
              </w:rPr>
              <w:t xml:space="preserve">•  </w:t>
            </w:r>
            <w:r>
              <w:rPr>
                <w:color w:val="3A3A3A"/>
                <w:sz w:val="21"/>
              </w:rPr>
              <w:t>Le projet QGIS consolidé (point d'entrée recommandé)</w:t>
            </w:r>
          </w:p>
          <w:p>
            <w:pPr>
              <w:pStyle w:val="Normal"/>
              <w:spacing w:before="20" w:after="20"/>
              <w:ind w:left="170"/>
              <w:rPr/>
            </w:pPr>
            <w:r>
              <w:rPr>
                <w:b/>
                <w:color w:val="6A6AF4"/>
                <w:sz w:val="21"/>
              </w:rPr>
              <w:t xml:space="preserve">•  </w:t>
            </w:r>
            <w:r>
              <w:rPr>
                <w:color w:val="3A3A3A"/>
                <w:sz w:val="21"/>
              </w:rPr>
              <w:t>Attributs des shapefiles de détection</w:t>
            </w:r>
          </w:p>
          <w:p>
            <w:pPr>
              <w:pStyle w:val="Normal"/>
              <w:spacing w:before="20" w:after="20"/>
              <w:ind w:left="170"/>
              <w:rPr/>
            </w:pPr>
            <w:r>
              <w:rPr>
                <w:b/>
                <w:color w:val="6A6AF4"/>
                <w:sz w:val="21"/>
              </w:rPr>
              <w:t xml:space="preserve">•  </w:t>
            </w:r>
            <w:r>
              <w:rPr>
                <w:color w:val="3A3A3A"/>
                <w:sz w:val="21"/>
              </w:rPr>
              <w:t>Logs et métadonnées</w:t>
            </w:r>
          </w:p>
        </w:tc>
      </w:tr>
    </w:tbl>
    <w:p>
      <w:pPr>
        <w:pStyle w:val="Normal"/>
        <w:rPr/>
      </w:pPr>
      <w:r>
        <w:rPr/>
      </w:r>
    </w:p>
    <w:p>
      <w:pPr>
        <w:pStyle w:val="Heading2"/>
        <w:rPr/>
      </w:pPr>
      <w:bookmarkStart w:id="40" w:name="__RefHeading___Toc3955_1193836322"/>
      <w:bookmarkEnd w:id="40"/>
      <w:r>
        <w:rPr>
          <w:rFonts w:ascii="Segoe UI" w:hAnsi="Segoe UI"/>
          <w:b/>
          <w:color w:val="1F2E5E"/>
          <w:sz w:val="32"/>
        </w:rPr>
        <w:t>7.1 Arborescence du dossier de sortie</w:t>
      </w:r>
    </w:p>
    <w:p>
      <w:pPr>
        <w:pStyle w:val="Normal"/>
        <w:spacing w:lineRule="exact" w:line="320" w:before="0" w:after="160"/>
        <w:rPr/>
      </w:pPr>
      <w:r>
        <w:rPr>
          <w:color w:val="3A3A3A"/>
          <w:sz w:val="22"/>
        </w:rPr>
        <w:t>Après un traitement complet, le dossier de sortie contient les éléments suivants (exemple concret tiré d'un vrai run sur 2 dalles IGN) :</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1F2E5E"/>
              <w:left w:val="single" w:sz="4" w:space="0" w:color="1F2E5E"/>
              <w:bottom w:val="single" w:sz="4" w:space="0" w:color="1F2E5E"/>
              <w:right w:val="single" w:sz="4" w:space="0" w:color="1F2E5E"/>
            </w:tcBorders>
            <w:shd w:fill="1F2E5E" w:val="clear"/>
          </w:tcPr>
          <w:p>
            <w:pPr>
              <w:pStyle w:val="Normal"/>
              <w:spacing w:before="20" w:after="20"/>
              <w:rPr/>
            </w:pPr>
            <w:r>
              <w:rPr>
                <w:rFonts w:ascii="Consolas" w:hAnsi="Consolas"/>
                <w:color w:val="ECF0F1"/>
                <w:sz w:val="19"/>
              </w:rPr>
              <w:t xml:space="preserve">📁 </w:t>
            </w:r>
            <w:r>
              <w:rPr>
                <w:rFonts w:ascii="Consolas" w:hAnsi="Consolas"/>
                <w:color w:val="ECF0F1"/>
                <w:sz w:val="19"/>
              </w:rPr>
              <w:t>dossier_sortie/</w:t>
            </w:r>
          </w:p>
          <w:p>
            <w:pPr>
              <w:pStyle w:val="Normal"/>
              <w:spacing w:before="20" w:after="20"/>
              <w:rPr/>
            </w:pPr>
            <w:r>
              <w:rPr>
                <w:rFonts w:ascii="Consolas" w:hAnsi="Consolas"/>
                <w:color w:val="ECF0F1"/>
                <w:sz w:val="19"/>
              </w:rPr>
              <w:t xml:space="preserve">├── 📁 </w:t>
            </w:r>
            <w:r>
              <w:rPr>
                <w:rFonts w:ascii="Consolas" w:hAnsi="Consolas"/>
                <w:color w:val="ECF0F1"/>
                <w:sz w:val="19"/>
              </w:rPr>
              <w:t>sources/</w:t>
            </w:r>
          </w:p>
          <w:p>
            <w:pPr>
              <w:pStyle w:val="Normal"/>
              <w:spacing w:before="20" w:after="20"/>
              <w:rPr/>
            </w:pPr>
            <w:r>
              <w:rPr>
                <w:rFonts w:ascii="Consolas" w:hAnsi="Consolas"/>
                <w:color w:val="ECF0F1"/>
                <w:sz w:val="19"/>
              </w:rPr>
              <w:t xml:space="preserve">│   └── 📁 </w:t>
            </w:r>
            <w:r>
              <w:rPr>
                <w:rFonts w:ascii="Consolas" w:hAnsi="Consolas"/>
                <w:color w:val="ECF0F1"/>
                <w:sz w:val="19"/>
              </w:rPr>
              <w:t>dalles/</w:t>
            </w:r>
          </w:p>
          <w:p>
            <w:pPr>
              <w:pStyle w:val="Normal"/>
              <w:spacing w:before="20" w:after="20"/>
              <w:rPr/>
            </w:pPr>
            <w:r>
              <w:rPr>
                <w:rFonts w:ascii="Consolas" w:hAnsi="Consolas"/>
                <w:color w:val="ECF0F1"/>
                <w:sz w:val="19"/>
              </w:rPr>
              <w:t xml:space="preserve">│       ├── 📄 </w:t>
            </w:r>
            <w:r>
              <w:rPr>
                <w:rFonts w:ascii="Consolas" w:hAnsi="Consolas"/>
                <w:color w:val="ECF0F1"/>
                <w:sz w:val="19"/>
              </w:rPr>
              <w:t>LHD_FXX_0822_6329_PTS_O_LAMB93_IGN69.copc.laz</w:t>
            </w:r>
          </w:p>
          <w:p>
            <w:pPr>
              <w:pStyle w:val="Normal"/>
              <w:spacing w:before="20" w:after="20"/>
              <w:rPr/>
            </w:pPr>
            <w:r>
              <w:rPr>
                <w:rFonts w:ascii="Consolas" w:hAnsi="Consolas"/>
                <w:color w:val="ECF0F1"/>
                <w:sz w:val="19"/>
              </w:rPr>
              <w:t xml:space="preserve">│       └── 📄 </w:t>
            </w:r>
            <w:r>
              <w:rPr>
                <w:rFonts w:ascii="Consolas" w:hAnsi="Consolas"/>
                <w:color w:val="ECF0F1"/>
                <w:sz w:val="19"/>
              </w:rPr>
              <w:t>LHD_FXX_0823_6329_PTS_O_LAMB93_IGN69.copc.laz</w:t>
            </w:r>
          </w:p>
          <w:p>
            <w:pPr>
              <w:pStyle w:val="Normal"/>
              <w:spacing w:before="20" w:after="20"/>
              <w:rPr/>
            </w:pPr>
            <w:r>
              <w:rPr>
                <w:rFonts w:ascii="Consolas" w:hAnsi="Consolas"/>
                <w:color w:val="ECF0F1"/>
                <w:sz w:val="19"/>
              </w:rPr>
              <w:t xml:space="preserve">├── 📁 </w:t>
            </w:r>
            <w:r>
              <w:rPr>
                <w:rFonts w:ascii="Consolas" w:hAnsi="Consolas"/>
                <w:color w:val="ECF0F1"/>
                <w:sz w:val="19"/>
              </w:rPr>
              <w:t>intermediaires/                 # Fichiers techniques (MNT, LAZ fusionnés)</w:t>
            </w:r>
          </w:p>
          <w:p>
            <w:pPr>
              <w:pStyle w:val="Normal"/>
              <w:spacing w:before="20" w:after="20"/>
              <w:rPr/>
            </w:pPr>
            <w:r>
              <w:rPr>
                <w:rFonts w:ascii="Consolas" w:hAnsi="Consolas"/>
                <w:color w:val="ECF0F1"/>
                <w:sz w:val="19"/>
              </w:rPr>
              <w:t xml:space="preserve">│   ├── 📄 </w:t>
            </w:r>
            <w:r>
              <w:rPr>
                <w:rFonts w:ascii="Consolas" w:hAnsi="Consolas"/>
                <w:color w:val="ECF0F1"/>
                <w:sz w:val="19"/>
              </w:rPr>
              <w:t>*_MNT_A_0M50_LAMB93_IGN69.tif</w:t>
            </w:r>
          </w:p>
          <w:p>
            <w:pPr>
              <w:pStyle w:val="Normal"/>
              <w:spacing w:before="20" w:after="20"/>
              <w:rPr/>
            </w:pPr>
            <w:r>
              <w:rPr>
                <w:rFonts w:ascii="Consolas" w:hAnsi="Consolas"/>
                <w:color w:val="ECF0F1"/>
                <w:sz w:val="19"/>
              </w:rPr>
              <w:t xml:space="preserve">│   ├── 📄 </w:t>
            </w:r>
            <w:r>
              <w:rPr>
                <w:rFonts w:ascii="Consolas" w:hAnsi="Consolas"/>
                <w:color w:val="ECF0F1"/>
                <w:sz w:val="19"/>
              </w:rPr>
              <w:t>*_LD_A15_Rmin10_Rmax20_H1p7_V1_A_LAMB93.tif</w:t>
            </w:r>
          </w:p>
          <w:p>
            <w:pPr>
              <w:pStyle w:val="Normal"/>
              <w:spacing w:before="20" w:after="20"/>
              <w:rPr/>
            </w:pPr>
            <w:r>
              <w:rPr>
                <w:rFonts w:ascii="Consolas" w:hAnsi="Consolas"/>
                <w:color w:val="ECF0F1"/>
                <w:sz w:val="19"/>
              </w:rPr>
              <w:t xml:space="preserve">│   └── 📄 </w:t>
            </w:r>
            <w:r>
              <w:rPr>
                <w:rFonts w:ascii="Consolas" w:hAnsi="Consolas"/>
                <w:color w:val="ECF0F1"/>
                <w:sz w:val="19"/>
              </w:rPr>
              <w:t>*_PTS_O_LAMB93_IGN69_merged.laz</w:t>
            </w:r>
          </w:p>
          <w:p>
            <w:pPr>
              <w:pStyle w:val="Normal"/>
              <w:spacing w:before="20" w:after="20"/>
              <w:rPr/>
            </w:pPr>
            <w:r>
              <w:rPr>
                <w:rFonts w:ascii="Consolas" w:hAnsi="Consolas"/>
                <w:color w:val="ECF0F1"/>
                <w:sz w:val="19"/>
              </w:rPr>
              <w:t xml:space="preserve">├── 📁 </w:t>
            </w:r>
            <w:r>
              <w:rPr>
                <w:rFonts w:ascii="Consolas" w:hAnsi="Consolas"/>
                <w:color w:val="ECF0F1"/>
                <w:sz w:val="19"/>
              </w:rPr>
              <w:t>indices/                        # Rasters utilisables en SIG</w:t>
            </w:r>
          </w:p>
          <w:p>
            <w:pPr>
              <w:pStyle w:val="Normal"/>
              <w:spacing w:before="20" w:after="20"/>
              <w:rPr/>
            </w:pPr>
            <w:r>
              <w:rPr>
                <w:rFonts w:ascii="Consolas" w:hAnsi="Consolas"/>
                <w:color w:val="ECF0F1"/>
                <w:sz w:val="19"/>
              </w:rPr>
              <w:t xml:space="preserve">│   ├── 📁 </w:t>
            </w:r>
            <w:r>
              <w:rPr>
                <w:rFonts w:ascii="Consolas" w:hAnsi="Consolas"/>
                <w:color w:val="ECF0F1"/>
                <w:sz w:val="19"/>
              </w:rPr>
              <w:t>MNT/tif/                    # MNT géoréférencés + index.vrt (mosaïque)</w:t>
            </w:r>
          </w:p>
          <w:p>
            <w:pPr>
              <w:pStyle w:val="Normal"/>
              <w:spacing w:before="20" w:after="20"/>
              <w:rPr/>
            </w:pPr>
            <w:r>
              <w:rPr>
                <w:rFonts w:ascii="Consolas" w:hAnsi="Consolas"/>
                <w:color w:val="ECF0F1"/>
                <w:sz w:val="19"/>
              </w:rPr>
              <w:t xml:space="preserve">│   ├── 📁 </w:t>
            </w:r>
            <w:r>
              <w:rPr>
                <w:rFonts w:ascii="Consolas" w:hAnsi="Consolas"/>
                <w:color w:val="ECF0F1"/>
                <w:sz w:val="19"/>
              </w:rPr>
              <w:t>LD/</w:t>
            </w:r>
          </w:p>
          <w:p>
            <w:pPr>
              <w:pStyle w:val="Normal"/>
              <w:spacing w:before="20" w:after="20"/>
              <w:rPr/>
            </w:pPr>
            <w:r>
              <w:rPr>
                <w:rFonts w:ascii="Consolas" w:hAnsi="Consolas"/>
                <w:color w:val="ECF0F1"/>
                <w:sz w:val="19"/>
              </w:rPr>
              <w:t xml:space="preserve">│   │   ├── 📁 </w:t>
            </w:r>
            <w:r>
              <w:rPr>
                <w:rFonts w:ascii="Consolas" w:hAnsi="Consolas"/>
                <w:color w:val="ECF0F1"/>
                <w:sz w:val="19"/>
              </w:rPr>
              <w:t>tif/                    # Local Dominance GeoTIFF</w:t>
            </w:r>
          </w:p>
          <w:p>
            <w:pPr>
              <w:pStyle w:val="Normal"/>
              <w:spacing w:before="20" w:after="20"/>
              <w:rPr/>
            </w:pPr>
            <w:r>
              <w:rPr>
                <w:rFonts w:ascii="Consolas" w:hAnsi="Consolas"/>
                <w:color w:val="ECF0F1"/>
                <w:sz w:val="19"/>
              </w:rPr>
              <w:t xml:space="preserve">│   │   └── 📁 </w:t>
            </w:r>
            <w:r>
              <w:rPr>
                <w:rFonts w:ascii="Consolas" w:hAnsi="Consolas"/>
                <w:color w:val="ECF0F1"/>
                <w:sz w:val="19"/>
              </w:rPr>
              <w:t>png/                    # PNG 8-bit (entrée Computer Vision)</w:t>
            </w:r>
          </w:p>
          <w:p>
            <w:pPr>
              <w:pStyle w:val="Normal"/>
              <w:spacing w:before="20" w:after="20"/>
              <w:rPr/>
            </w:pPr>
            <w:r>
              <w:rPr>
                <w:rFonts w:ascii="Consolas" w:hAnsi="Consolas"/>
                <w:color w:val="ECF0F1"/>
                <w:sz w:val="19"/>
              </w:rPr>
              <w:t xml:space="preserve">│   └── 📁 </w:t>
            </w:r>
            <w:r>
              <w:rPr>
                <w:rFonts w:ascii="Consolas" w:hAnsi="Consolas"/>
                <w:color w:val="ECF0F1"/>
                <w:sz w:val="19"/>
              </w:rPr>
              <w:t>M_HS/ SVF/ SLO/ ...         # Autres indices RVT (si activés)</w:t>
            </w:r>
          </w:p>
          <w:p>
            <w:pPr>
              <w:pStyle w:val="Normal"/>
              <w:spacing w:before="20" w:after="20"/>
              <w:rPr/>
            </w:pPr>
            <w:r>
              <w:rPr>
                <w:rFonts w:ascii="Consolas" w:hAnsi="Consolas"/>
                <w:color w:val="ECF0F1"/>
                <w:sz w:val="19"/>
              </w:rPr>
              <w:t xml:space="preserve">├── 📁 </w:t>
            </w:r>
            <w:r>
              <w:rPr>
                <w:rFonts w:ascii="Consolas" w:hAnsi="Consolas"/>
                <w:color w:val="ECF0F1"/>
                <w:sz w:val="19"/>
              </w:rPr>
              <w:t>detections/                     # Résultats Computer Vision</w:t>
            </w:r>
          </w:p>
          <w:p>
            <w:pPr>
              <w:pStyle w:val="Normal"/>
              <w:spacing w:before="20" w:after="20"/>
              <w:rPr/>
            </w:pPr>
            <w:r>
              <w:rPr>
                <w:rFonts w:ascii="Consolas" w:hAnsi="Consolas"/>
                <w:color w:val="ECF0F1"/>
                <w:sz w:val="19"/>
              </w:rPr>
              <w:t xml:space="preserve">│   ├── 📄 </w:t>
            </w:r>
            <w:r>
              <w:rPr>
                <w:rFonts w:ascii="Consolas" w:hAnsi="Consolas"/>
                <w:color w:val="ECF0F1"/>
                <w:sz w:val="19"/>
              </w:rPr>
              <w:t>detections_validation.qgs   # ⭐ Projet QGIS consolidé (point d'entrée)</w:t>
            </w:r>
          </w:p>
          <w:p>
            <w:pPr>
              <w:pStyle w:val="Normal"/>
              <w:spacing w:before="20" w:after="20"/>
              <w:rPr/>
            </w:pPr>
            <w:r>
              <w:rPr>
                <w:rFonts w:ascii="Consolas" w:hAnsi="Consolas"/>
                <w:color w:val="ECF0F1"/>
                <w:sz w:val="19"/>
              </w:rPr>
              <w:t xml:space="preserve">│   └── 📁 </w:t>
            </w:r>
            <w:r>
              <w:rPr>
                <w:rFonts w:ascii="Consolas" w:hAnsi="Consolas"/>
                <w:color w:val="ECF0F1"/>
                <w:sz w:val="19"/>
              </w:rPr>
              <w:t>&lt;nom_du_modèle&gt;/</w:t>
            </w:r>
          </w:p>
          <w:p>
            <w:pPr>
              <w:pStyle w:val="Normal"/>
              <w:spacing w:before="20" w:after="20"/>
              <w:rPr/>
            </w:pPr>
            <w:r>
              <w:rPr>
                <w:rFonts w:ascii="Consolas" w:hAnsi="Consolas"/>
                <w:color w:val="ECF0F1"/>
                <w:sz w:val="19"/>
              </w:rPr>
              <w:t xml:space="preserve">│       ├── 📁 </w:t>
            </w:r>
            <w:r>
              <w:rPr>
                <w:rFonts w:ascii="Consolas" w:hAnsi="Consolas"/>
                <w:color w:val="ECF0F1"/>
                <w:sz w:val="19"/>
              </w:rPr>
              <w:t>shapefiles/             # 📄 detections_&lt;INDICE&gt;.gpkg (toutes classes)</w:t>
            </w:r>
          </w:p>
          <w:p>
            <w:pPr>
              <w:pStyle w:val="Normal"/>
              <w:spacing w:before="20" w:after="20"/>
              <w:rPr/>
            </w:pPr>
            <w:r>
              <w:rPr>
                <w:rFonts w:ascii="Consolas" w:hAnsi="Consolas"/>
                <w:color w:val="ECF0F1"/>
                <w:sz w:val="19"/>
              </w:rPr>
              <w:t xml:space="preserve">│       ├── 📁 </w:t>
            </w:r>
            <w:r>
              <w:rPr>
                <w:rFonts w:ascii="Consolas" w:hAnsi="Consolas"/>
                <w:color w:val="ECF0F1"/>
                <w:sz w:val="19"/>
              </w:rPr>
              <w:t>raw_detections/         # Sorties brutes (JSON/TXT + classes.txt)</w:t>
            </w:r>
          </w:p>
          <w:p>
            <w:pPr>
              <w:pStyle w:val="Normal"/>
              <w:spacing w:before="20" w:after="20"/>
              <w:rPr/>
            </w:pPr>
            <w:r>
              <w:rPr>
                <w:rFonts w:ascii="Consolas" w:hAnsi="Consolas"/>
                <w:color w:val="ECF0F1"/>
                <w:sz w:val="19"/>
              </w:rPr>
              <w:t xml:space="preserve">│       └── 📁 </w:t>
            </w:r>
            <w:r>
              <w:rPr>
                <w:rFonts w:ascii="Consolas" w:hAnsi="Consolas"/>
                <w:color w:val="ECF0F1"/>
                <w:sz w:val="19"/>
              </w:rPr>
              <w:t>annotated_images/       # PNG annotés + legend.png + index.vrt</w:t>
            </w:r>
          </w:p>
          <w:p>
            <w:pPr>
              <w:pStyle w:val="Normal"/>
              <w:spacing w:before="20" w:after="20"/>
              <w:rPr/>
            </w:pPr>
            <w:r>
              <w:rPr>
                <w:rFonts w:ascii="Consolas" w:hAnsi="Consolas"/>
                <w:color w:val="ECF0F1"/>
                <w:sz w:val="19"/>
              </w:rPr>
              <w:t xml:space="preserve">├── 📄 </w:t>
            </w:r>
            <w:r>
              <w:rPr>
                <w:rFonts w:ascii="Consolas" w:hAnsi="Consolas"/>
                <w:color w:val="ECF0F1"/>
                <w:sz w:val="19"/>
              </w:rPr>
              <w:t>dalles_urls.txt                 # Liste des dalles IGN traitées</w:t>
            </w:r>
          </w:p>
          <w:p>
            <w:pPr>
              <w:pStyle w:val="Normal"/>
              <w:spacing w:before="20" w:after="20"/>
              <w:rPr/>
            </w:pPr>
            <w:r>
              <w:rPr>
                <w:rFonts w:ascii="Consolas" w:hAnsi="Consolas"/>
                <w:color w:val="ECF0F1"/>
                <w:sz w:val="19"/>
              </w:rPr>
              <w:t xml:space="preserve">├── 📄 </w:t>
            </w:r>
            <w:r>
              <w:rPr>
                <w:rFonts w:ascii="Consolas" w:hAnsi="Consolas"/>
                <w:color w:val="ECF0F1"/>
                <w:sz w:val="19"/>
              </w:rPr>
              <w:t>fichier_tri.txt                 # Trace du tri initial</w:t>
            </w:r>
          </w:p>
          <w:p>
            <w:pPr>
              <w:pStyle w:val="Normal"/>
              <w:spacing w:before="20" w:after="20"/>
              <w:rPr/>
            </w:pPr>
            <w:r>
              <w:rPr>
                <w:rFonts w:ascii="Consolas" w:hAnsi="Consolas"/>
                <w:color w:val="ECF0F1"/>
                <w:sz w:val="19"/>
              </w:rPr>
              <w:t xml:space="preserve">├── 📄 </w:t>
            </w:r>
            <w:r>
              <w:rPr>
                <w:rFonts w:ascii="Consolas" w:hAnsi="Consolas"/>
                <w:color w:val="ECF0F1"/>
                <w:sz w:val="19"/>
              </w:rPr>
              <w:t>metadata.json                   # Configuration complète du run (rechargeable)</w:t>
            </w:r>
          </w:p>
          <w:p>
            <w:pPr>
              <w:pStyle w:val="Normal"/>
              <w:spacing w:before="20" w:after="20"/>
              <w:rPr/>
            </w:pPr>
            <w:r>
              <w:rPr>
                <w:rFonts w:ascii="Consolas" w:hAnsi="Consolas"/>
                <w:color w:val="ECF0F1"/>
                <w:sz w:val="19"/>
              </w:rPr>
              <w:t xml:space="preserve">└── 📄 </w:t>
            </w:r>
            <w:r>
              <w:rPr>
                <w:rFonts w:ascii="Consolas" w:hAnsi="Consolas"/>
                <w:color w:val="ECF0F1"/>
                <w:sz w:val="19"/>
              </w:rPr>
              <w:t>pipeline_log_AAAAMMJJ_HHMMSS.txt  # Journal complet du traitement</w:t>
            </w:r>
          </w:p>
        </w:tc>
      </w:tr>
    </w:tbl>
    <w:p>
      <w:pPr>
        <w:pStyle w:val="Normal"/>
        <w:rPr/>
      </w:pPr>
      <w:r>
        <w:rPr/>
      </w:r>
    </w:p>
    <w:p>
      <w:pPr>
        <w:pStyle w:val="Normal"/>
        <w:spacing w:before="40" w:after="200"/>
        <w:jc w:val="center"/>
        <w:rPr/>
      </w:pPr>
      <w:r>
        <w:rPr>
          <w:b/>
          <w:i/>
          <w:color w:val="1F2E5E"/>
          <w:sz w:val="19"/>
        </w:rPr>
        <w:t xml:space="preserve">Figure </w:t>
      </w:r>
      <w:r>
        <w:rPr/>
        <w:fldChar w:fldCharType="begin"/>
      </w:r>
      <w:r>
        <w:rPr/>
        <w:instrText xml:space="preserve"> SEQ Figure \* ARABIC </w:instrText>
      </w:r>
      <w:r>
        <w:rPr/>
        <w:fldChar w:fldCharType="separate"/>
      </w:r>
      <w:r>
        <w:rPr/>
        <w:t>2</w:t>
      </w:r>
      <w:r>
        <w:rPr/>
        <w:fldChar w:fldCharType="end"/>
      </w:r>
      <w:r>
        <w:rPr>
          <w:i/>
          <w:color w:val="666666"/>
          <w:sz w:val="19"/>
        </w:rPr>
        <w:t xml:space="preserve">  —  Arborescence complète d'un dossier de sortie (exemple 2 dalles)</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E8F1FA"/>
              <w:left w:val="single" w:sz="18" w:space="0" w:color="0063CB"/>
              <w:bottom w:val="single" w:sz="4" w:space="0" w:color="E8F1FA"/>
              <w:right w:val="single" w:sz="4" w:space="0" w:color="E8F1FA"/>
            </w:tcBorders>
            <w:shd w:fill="E8F1FA" w:val="clear"/>
          </w:tcPr>
          <w:p>
            <w:pPr>
              <w:pStyle w:val="Normal"/>
              <w:widowControl/>
              <w:bidi w:val="0"/>
              <w:spacing w:lineRule="auto" w:line="324" w:before="0" w:after="200"/>
              <w:jc w:val="left"/>
              <w:rPr/>
            </w:pPr>
            <w:r>
              <w:rPr>
                <w:b/>
                <w:color w:val="0063CB"/>
                <w:sz w:val="21"/>
              </w:rPr>
              <w:t xml:space="preserve">ℹ️ </w:t>
            </w:r>
            <w:r>
              <w:rPr>
                <w:b/>
                <w:color w:val="0063CB"/>
                <w:sz w:val="21"/>
              </w:rPr>
              <w:t xml:space="preserve">Note — </w:t>
            </w:r>
            <w:r>
              <w:rPr>
                <w:color w:val="0063CB"/>
                <w:sz w:val="21"/>
              </w:rPr>
              <w:t>Le projet QGIS consolidé (detections_validation.qgs) est placé à l'intérieur du dossier detections/ — c'est le point d'entrée recommandé pour valider et analyser les résultats.</w:t>
            </w:r>
          </w:p>
        </w:tc>
      </w:tr>
    </w:tbl>
    <w:p>
      <w:pPr>
        <w:pStyle w:val="Normal"/>
        <w:rPr/>
      </w:pPr>
      <w:r>
        <w:rPr/>
      </w:r>
    </w:p>
    <w:p>
      <w:pPr>
        <w:pStyle w:val="Heading3"/>
        <w:rPr/>
      </w:pPr>
      <w:bookmarkStart w:id="41" w:name="__RefHeading___Toc3957_1193836322"/>
      <w:bookmarkEnd w:id="41"/>
      <w:r>
        <w:rPr>
          <w:rFonts w:ascii="Segoe UI" w:hAnsi="Segoe UI"/>
          <w:b/>
          <w:color w:val="1F2E5E"/>
          <w:sz w:val="26"/>
        </w:rPr>
        <w:t>Convention de nommage des fichiers raster</w:t>
      </w:r>
    </w:p>
    <w:p>
      <w:pPr>
        <w:pStyle w:val="Normal"/>
        <w:spacing w:lineRule="exact" w:line="320" w:before="0" w:after="160"/>
        <w:rPr/>
      </w:pPr>
      <w:r>
        <w:rPr>
          <w:color w:val="3A3A3A"/>
          <w:sz w:val="22"/>
        </w:rPr>
        <w:t>Les fichiers suivent la convention de nommage IGN LiDAR HD :</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1F2E5E"/>
              <w:left w:val="single" w:sz="4" w:space="0" w:color="1F2E5E"/>
              <w:bottom w:val="single" w:sz="4" w:space="0" w:color="1F2E5E"/>
              <w:right w:val="single" w:sz="4" w:space="0" w:color="1F2E5E"/>
            </w:tcBorders>
            <w:shd w:fill="1F2E5E" w:val="clear"/>
          </w:tcPr>
          <w:p>
            <w:pPr>
              <w:pStyle w:val="Normal"/>
              <w:spacing w:before="20" w:after="20"/>
              <w:rPr/>
            </w:pPr>
            <w:r>
              <w:rPr>
                <w:rFonts w:ascii="Consolas" w:hAnsi="Consolas"/>
                <w:color w:val="ECF0F1"/>
                <w:sz w:val="19"/>
              </w:rPr>
              <w:t>LHD_FXX_&lt;X_km&gt;_&lt;Y_km&gt;_&lt;PRODUIT&gt;_A_LAMB93.tif</w:t>
            </w:r>
          </w:p>
          <w:p>
            <w:pPr>
              <w:pStyle w:val="Normal"/>
              <w:spacing w:before="20" w:after="20"/>
              <w:rPr/>
            </w:pPr>
            <w:r>
              <w:rPr/>
            </w:r>
          </w:p>
          <w:p>
            <w:pPr>
              <w:pStyle w:val="Normal"/>
              <w:spacing w:before="20" w:after="20"/>
              <w:rPr/>
            </w:pPr>
            <w:r>
              <w:rPr>
                <w:rFonts w:ascii="Consolas" w:hAnsi="Consolas"/>
                <w:color w:val="ECF0F1"/>
                <w:sz w:val="19"/>
              </w:rPr>
              <w:t>Exemple : LHD_FXX_0822_6329_LD_A15_Rmin10_Rmax20_H1p7_V1_A_LAMB93.tif</w:t>
            </w:r>
          </w:p>
        </w:tc>
      </w:tr>
    </w:tbl>
    <w:p>
      <w:pPr>
        <w:pStyle w:val="Normal"/>
        <w:rPr/>
      </w:pPr>
      <w:r>
        <w:rPr/>
      </w:r>
    </w:p>
    <w:p>
      <w:pPr>
        <w:pStyle w:val="Heading2"/>
        <w:rPr/>
      </w:pPr>
      <w:bookmarkStart w:id="42" w:name="__RefHeading___Toc3959_1193836322"/>
      <w:bookmarkEnd w:id="42"/>
      <w:r>
        <w:rPr>
          <w:rFonts w:ascii="Segoe UI" w:hAnsi="Segoe UI"/>
          <w:b/>
          <w:color w:val="1F2E5E"/>
          <w:sz w:val="32"/>
        </w:rPr>
        <w:t>7.2 Le projet QGIS consolidé</w:t>
      </w:r>
    </w:p>
    <w:p>
      <w:pPr>
        <w:pStyle w:val="Normal"/>
        <w:spacing w:lineRule="exact" w:line="320" w:before="0" w:after="160"/>
        <w:rPr/>
      </w:pPr>
      <w:r>
        <w:rPr>
          <w:color w:val="3A3A3A"/>
          <w:sz w:val="22"/>
        </w:rPr>
        <w:t>Le fichier detections_validation.qgs est automatiquement chargé dans QGIS à la fin du traitement. Il contient :</w:t>
      </w:r>
    </w:p>
    <w:p>
      <w:pPr>
        <w:pStyle w:val="Normal"/>
        <w:spacing w:before="0" w:after="80"/>
        <w:ind w:hanging="283" w:left="850"/>
        <w:rPr/>
      </w:pPr>
      <w:r>
        <w:rPr>
          <w:color w:val="3A3A3A"/>
          <w:sz w:val="22"/>
        </w:rPr>
        <w:t xml:space="preserve">•  </w:t>
      </w:r>
      <w:r>
        <w:rPr>
          <w:color w:val="3A3A3A"/>
          <w:sz w:val="22"/>
        </w:rPr>
        <w:t>Toutes les couches de shapefiles de détection</w:t>
      </w:r>
    </w:p>
    <w:p>
      <w:pPr>
        <w:pStyle w:val="Normal"/>
        <w:spacing w:before="0" w:after="80"/>
        <w:ind w:hanging="283" w:left="850"/>
        <w:rPr/>
      </w:pPr>
      <w:r>
        <w:rPr>
          <w:color w:val="3A3A3A"/>
          <w:sz w:val="22"/>
        </w:rPr>
        <w:t xml:space="preserve">•  </w:t>
      </w:r>
      <w:r>
        <w:rPr>
          <w:color w:val="3A3A3A"/>
          <w:sz w:val="22"/>
        </w:rPr>
        <w:t>Une couleur distincte par classe de détection</w:t>
      </w:r>
    </w:p>
    <w:p>
      <w:pPr>
        <w:pStyle w:val="Normal"/>
        <w:spacing w:before="0" w:after="80"/>
        <w:ind w:hanging="283" w:left="850"/>
        <w:rPr/>
      </w:pPr>
      <w:r>
        <w:rPr>
          <w:color w:val="3A3A3A"/>
          <w:sz w:val="22"/>
        </w:rPr>
        <w:t xml:space="preserve">•  </w:t>
      </w:r>
      <w:r>
        <w:rPr>
          <w:color w:val="3A3A3A"/>
          <w:sz w:val="22"/>
        </w:rPr>
        <w:t>Les rasters VRT (mosaïques) pour chaque indice RVT</w:t>
      </w:r>
    </w:p>
    <w:p>
      <w:pPr>
        <w:pStyle w:val="Normal"/>
        <w:spacing w:lineRule="exact" w:line="320" w:before="0" w:after="160"/>
        <w:rPr/>
      </w:pPr>
      <w:r>
        <w:rPr>
          <w:color w:val="3A3A3A"/>
          <w:sz w:val="22"/>
        </w:rPr>
        <w:t>C'est le point d'entrée recommandé pour l'analyse des résultats.</w:t>
      </w:r>
    </w:p>
    <w:p>
      <w:pPr>
        <w:pStyle w:val="Heading2"/>
        <w:rPr/>
      </w:pPr>
      <w:bookmarkStart w:id="43" w:name="__RefHeading___Toc3961_1193836322"/>
      <w:bookmarkEnd w:id="43"/>
      <w:r>
        <w:rPr>
          <w:rFonts w:ascii="Segoe UI" w:hAnsi="Segoe UI"/>
          <w:b/>
          <w:color w:val="1F2E5E"/>
          <w:sz w:val="32"/>
        </w:rPr>
        <w:t>7.3 Les shapefiles de détection</w:t>
      </w:r>
    </w:p>
    <w:p>
      <w:pPr>
        <w:pStyle w:val="Normal"/>
        <w:spacing w:lineRule="exact" w:line="320" w:before="0" w:after="160"/>
        <w:rPr/>
      </w:pPr>
      <w:r>
        <w:rPr>
          <w:color w:val="3A3A3A"/>
          <w:sz w:val="22"/>
        </w:rPr>
        <w:t>Chaque shapefile de détection contient les attributs suivants :</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c>
          <w:tcPr>
            <w:tcW w:w="4986"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Attribut</w:t>
            </w:r>
          </w:p>
        </w:tc>
        <w:tc>
          <w:tcPr>
            <w:tcW w:w="4985"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Description</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class_name</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Nom de la classe détectée</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confidence</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Score de confiance du modèle (0–1)</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area_m2</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Surface de la détection en m²</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cluster_id</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Identifiant de groupe (si clustering activé)</w:t>
            </w:r>
          </w:p>
        </w:tc>
      </w:tr>
    </w:tbl>
    <w:p>
      <w:pPr>
        <w:pStyle w:val="Normal"/>
        <w:rPr/>
      </w:pPr>
      <w:r>
        <w:rPr/>
      </w:r>
    </w:p>
    <w:p>
      <w:pPr>
        <w:pStyle w:val="Normal"/>
        <w:spacing w:lineRule="exact" w:line="320" w:before="0" w:after="160"/>
        <w:rPr/>
      </w:pPr>
      <w:r>
        <w:rPr>
          <w:color w:val="3A3A3A"/>
          <w:sz w:val="22"/>
        </w:rPr>
        <w:t>Pour les classes de clustering (ex : zone_crateres) :</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c>
          <w:tcPr>
            <w:tcW w:w="4986"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Attribut</w:t>
            </w:r>
          </w:p>
        </w:tc>
        <w:tc>
          <w:tcPr>
            <w:tcW w:w="4985"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Description</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nb_detect</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Nombre de détections individuelles dans le groupe</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mean_confidence</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Confiance moyenne des détections du groupe</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density</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Densité de détections par hectare</w:t>
            </w:r>
          </w:p>
        </w:tc>
      </w:tr>
    </w:tbl>
    <w:p>
      <w:pPr>
        <w:pStyle w:val="Normal"/>
        <w:rPr/>
      </w:pPr>
      <w:r>
        <w:rPr/>
      </w:r>
    </w:p>
    <w:p>
      <w:pPr>
        <w:pStyle w:val="Heading2"/>
        <w:rPr/>
      </w:pPr>
      <w:bookmarkStart w:id="44" w:name="__RefHeading___Toc3963_1193836322"/>
      <w:bookmarkEnd w:id="44"/>
      <w:r>
        <w:rPr>
          <w:rFonts w:ascii="Segoe UI" w:hAnsi="Segoe UI"/>
          <w:b/>
          <w:color w:val="1F2E5E"/>
          <w:sz w:val="32"/>
        </w:rPr>
        <w:t>7.4 Le fichier metadata.json</w:t>
      </w:r>
    </w:p>
    <w:p>
      <w:pPr>
        <w:pStyle w:val="Normal"/>
        <w:spacing w:lineRule="exact" w:line="320" w:before="0" w:after="160"/>
        <w:rPr/>
      </w:pPr>
      <w:r>
        <w:rPr>
          <w:color w:val="3A3A3A"/>
          <w:sz w:val="22"/>
        </w:rPr>
        <w:t>Ce fichier JSON documente les paramètres du traitement effectué : date, mode, nombre de dalles, modèles utilisés, produits générés. Il sert de trace pour l'archivage et la reproductibilité.</w:t>
      </w:r>
    </w:p>
    <w:p>
      <w:pPr>
        <w:pStyle w:val="Heading2"/>
        <w:rPr/>
      </w:pPr>
      <w:bookmarkStart w:id="45" w:name="__RefHeading___Toc3965_1193836322"/>
      <w:bookmarkEnd w:id="45"/>
      <w:r>
        <w:rPr>
          <w:rFonts w:ascii="Segoe UI" w:hAnsi="Segoe UI"/>
          <w:b/>
          <w:color w:val="1F2E5E"/>
          <w:sz w:val="32"/>
        </w:rPr>
        <w:t>7.5 Les logs</w:t>
      </w:r>
    </w:p>
    <w:p>
      <w:pPr>
        <w:pStyle w:val="Normal"/>
        <w:spacing w:lineRule="exact" w:line="320" w:before="0" w:after="160"/>
        <w:rPr/>
      </w:pPr>
      <w:r>
        <w:rPr>
          <w:color w:val="3A3A3A"/>
          <w:sz w:val="22"/>
        </w:rPr>
        <w:t>Le fichier pipeline_log_AAAAMMJJ_HHMMSS.txt contient le journal complet du traitement. Il est utile pour diagnostiquer un problème ou vérifier le déroulement du pipeline.</w:t>
      </w:r>
    </w:p>
    <w:p>
      <w:pPr>
        <w:pStyle w:val="Normal"/>
        <w:rPr/>
      </w:pPr>
      <w:r>
        <w:rPr/>
      </w:r>
      <w:r>
        <w:br w:type="page"/>
      </w:r>
    </w:p>
    <w:p>
      <w:pPr>
        <w:pStyle w:val="Heading1"/>
        <w:pBdr>
          <w:left w:val="single" w:sz="36" w:space="10" w:color="000091"/>
        </w:pBdr>
        <w:spacing w:before="0" w:after="120"/>
        <w:ind w:left="170"/>
        <w:rPr/>
      </w:pPr>
      <w:bookmarkStart w:id="46" w:name="__RefHeading___Toc3967_1193836322"/>
      <w:bookmarkEnd w:id="46"/>
      <w:r>
        <w:rPr>
          <w:rFonts w:ascii="Segoe UI" w:hAnsi="Segoe UI"/>
          <w:b/>
          <w:color w:val="000091"/>
          <w:sz w:val="44"/>
        </w:rPr>
        <w:t xml:space="preserve">⚡  </w:t>
      </w:r>
      <w:r>
        <w:rPr>
          <w:rFonts w:ascii="Segoe UI" w:hAnsi="Segoe UI"/>
          <w:b/>
          <w:color w:val="000091"/>
          <w:sz w:val="44"/>
        </w:rPr>
        <w:t>8. Performance &amp; matériel</w:t>
      </w:r>
    </w:p>
    <w:p>
      <w:pPr>
        <w:pStyle w:val="Normal"/>
        <w:pBdr>
          <w:bottom w:val="single" w:sz="12" w:space="1" w:color="6A6AF4"/>
        </w:pBdr>
        <w:spacing w:before="0" w:after="120"/>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6A6AF4"/>
              <w:left w:val="single" w:sz="4" w:space="0" w:color="6A6AF4"/>
              <w:bottom w:val="single" w:sz="4" w:space="0" w:color="6A6AF4"/>
              <w:right w:val="single" w:sz="4" w:space="0" w:color="6A6AF4"/>
            </w:tcBorders>
            <w:shd w:fill="F2F2FE" w:val="clear"/>
          </w:tcPr>
          <w:p>
            <w:pPr>
              <w:pStyle w:val="Normal"/>
              <w:spacing w:before="40" w:after="80"/>
              <w:rPr/>
            </w:pPr>
            <w:r>
              <w:rPr>
                <w:b/>
                <w:color w:val="000091"/>
                <w:sz w:val="20"/>
              </w:rPr>
              <w:t xml:space="preserve">👁️  </w:t>
            </w:r>
            <w:r>
              <w:rPr>
                <w:b/>
                <w:color w:val="000091"/>
                <w:sz w:val="20"/>
              </w:rPr>
              <w:t>EN UN COUP D'ŒIL</w:t>
            </w:r>
            <w:r>
              <w:rPr>
                <w:i/>
                <w:color w:val="666666"/>
                <w:sz w:val="18"/>
              </w:rPr>
              <w:t xml:space="preserve">   •   ⏱ 4 min de lecture</w:t>
            </w:r>
          </w:p>
          <w:p>
            <w:pPr>
              <w:pStyle w:val="Normal"/>
              <w:spacing w:before="20" w:after="20"/>
              <w:ind w:left="170"/>
              <w:rPr/>
            </w:pPr>
            <w:r>
              <w:rPr>
                <w:b/>
                <w:color w:val="6A6AF4"/>
                <w:sz w:val="21"/>
              </w:rPr>
              <w:t xml:space="preserve">•  </w:t>
            </w:r>
            <w:r>
              <w:rPr>
                <w:color w:val="3A3A3A"/>
                <w:sz w:val="21"/>
              </w:rPr>
              <w:t>Configuration matérielle recommandée (RAM, CPU, GPU)</w:t>
            </w:r>
          </w:p>
          <w:p>
            <w:pPr>
              <w:pStyle w:val="Normal"/>
              <w:spacing w:before="20" w:after="20"/>
              <w:ind w:left="170"/>
              <w:rPr/>
            </w:pPr>
            <w:r>
              <w:rPr>
                <w:b/>
                <w:color w:val="6A6AF4"/>
                <w:sz w:val="21"/>
              </w:rPr>
              <w:t xml:space="preserve">•  </w:t>
            </w:r>
            <w:r>
              <w:rPr>
                <w:color w:val="3A3A3A"/>
                <w:sz w:val="21"/>
              </w:rPr>
              <w:t>Temps typiques par dalle et par étape du pipeline</w:t>
            </w:r>
          </w:p>
          <w:p>
            <w:pPr>
              <w:pStyle w:val="Normal"/>
              <w:spacing w:before="20" w:after="20"/>
              <w:ind w:left="170"/>
              <w:rPr/>
            </w:pPr>
            <w:r>
              <w:rPr>
                <w:b/>
                <w:color w:val="6A6AF4"/>
                <w:sz w:val="21"/>
              </w:rPr>
              <w:t xml:space="preserve">•  </w:t>
            </w:r>
            <w:r>
              <w:rPr>
                <w:color w:val="3A3A3A"/>
                <w:sz w:val="21"/>
              </w:rPr>
              <w:t>Leviers d'optimisation (Workers, résolution MNT…)</w:t>
            </w:r>
          </w:p>
          <w:p>
            <w:pPr>
              <w:pStyle w:val="Normal"/>
              <w:spacing w:before="20" w:after="20"/>
              <w:ind w:left="170"/>
              <w:rPr/>
            </w:pPr>
            <w:r>
              <w:rPr>
                <w:b/>
                <w:color w:val="6A6AF4"/>
                <w:sz w:val="21"/>
              </w:rPr>
              <w:t xml:space="preserve">•  </w:t>
            </w:r>
            <w:r>
              <w:rPr>
                <w:color w:val="3A3A3A"/>
                <w:sz w:val="21"/>
              </w:rPr>
              <w:t>Astuces pour traiter de grandes zones</w:t>
            </w:r>
          </w:p>
        </w:tc>
      </w:tr>
    </w:tbl>
    <w:p>
      <w:pPr>
        <w:pStyle w:val="Normal"/>
        <w:rPr/>
      </w:pPr>
      <w:r>
        <w:rPr/>
      </w:r>
    </w:p>
    <w:p>
      <w:pPr>
        <w:pStyle w:val="Heading2"/>
        <w:rPr/>
      </w:pPr>
      <w:bookmarkStart w:id="47" w:name="__RefHeading___Toc3969_1193836322"/>
      <w:bookmarkEnd w:id="47"/>
      <w:r>
        <w:rPr>
          <w:rFonts w:ascii="Segoe UI" w:hAnsi="Segoe UI"/>
          <w:b/>
          <w:color w:val="1F2E5E"/>
          <w:sz w:val="32"/>
        </w:rPr>
        <w:t>8.1 Configuration recommandée</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Ressource</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Minimum</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Recommandé</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RAM</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16 Go</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32 Go ou plus</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CPU</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4 cœurs (x86_64)</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8 cœurs physiques ou plus</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GPU</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Optionnel (CPU OK)</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NVIDIA RTX (accélère la CV ×3 à ×10)</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Disque</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SSD, 50 Go libres</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NVMe, 200 Go+ pour grandes zones</w:t>
            </w:r>
          </w:p>
        </w:tc>
      </w:tr>
    </w:tbl>
    <w:p>
      <w:pPr>
        <w:pStyle w:val="Normal"/>
        <w:rPr/>
      </w:pPr>
      <w:r>
        <w:rPr/>
      </w:r>
    </w:p>
    <w:p>
      <w:pPr>
        <w:pStyle w:val="Normal"/>
        <w:spacing w:before="40" w:after="80"/>
        <w:jc w:val="center"/>
        <w:rPr/>
      </w:pPr>
      <w:r>
        <w:rPr>
          <w:b/>
          <w:i/>
          <w:color w:val="1F2E5E"/>
          <w:sz w:val="19"/>
        </w:rPr>
        <w:t xml:space="preserve">Tableau </w:t>
      </w:r>
      <w:r>
        <w:rPr/>
        <w:fldChar w:fldCharType="begin"/>
      </w:r>
      <w:r>
        <w:rPr/>
        <w:instrText xml:space="preserve"> SEQ Tableau \* ARABIC </w:instrText>
      </w:r>
      <w:r>
        <w:rPr/>
        <w:fldChar w:fldCharType="separate"/>
      </w:r>
      <w:r>
        <w:rPr/>
        <w:t>2</w:t>
      </w:r>
      <w:r>
        <w:rPr/>
        <w:fldChar w:fldCharType="end"/>
      </w:r>
      <w:r>
        <w:rPr>
          <w:i/>
          <w:color w:val="666666"/>
          <w:sz w:val="19"/>
        </w:rPr>
        <w:t xml:space="preserve">  —  Configuration matérielle</w:t>
      </w:r>
    </w:p>
    <w:p>
      <w:pPr>
        <w:pStyle w:val="Heading2"/>
        <w:rPr/>
      </w:pPr>
      <w:bookmarkStart w:id="48" w:name="__RefHeading___Toc3971_1193836322"/>
      <w:bookmarkEnd w:id="48"/>
      <w:r>
        <w:rPr>
          <w:rFonts w:ascii="Segoe UI" w:hAnsi="Segoe UI"/>
          <w:b/>
          <w:color w:val="1F2E5E"/>
          <w:sz w:val="32"/>
        </w:rPr>
        <w:t>8.2 Temps de traitement indicatifs</w:t>
      </w:r>
    </w:p>
    <w:p>
      <w:pPr>
        <w:pStyle w:val="Normal"/>
        <w:spacing w:lineRule="exact" w:line="320" w:before="0" w:after="160"/>
        <w:rPr/>
      </w:pPr>
      <w:r>
        <w:rPr>
          <w:color w:val="3A3A3A"/>
          <w:sz w:val="22"/>
        </w:rPr>
        <w:t>Ordres de grandeur mesurés sur une machine 8 cœurs / 32 Go RAM, pour une dalle IGN standard (1 km² ≈ 200 millions de points).</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c>
          <w:tcPr>
            <w:tcW w:w="4986"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Étape</w:t>
            </w:r>
          </w:p>
        </w:tc>
        <w:tc>
          <w:tcPr>
            <w:tcW w:w="4985"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Temps par dalle</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Téléchargement IGN (mode ign_laz)</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1–3 min (selon la connexion)</w:t>
            </w:r>
          </w:p>
        </w:tc>
      </w:tr>
      <w:tr>
        <w:trPr>
          <w:trHeight w:val="236" w:hRule="atLeast"/>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Calcul du MNT (PDAL)</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1–2 min</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Calcul d'un indice RVT (hors MNT)</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30 s – 2 min</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Inférence CV (1 modèle, CPU)</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 xml:space="preserve"> </w:t>
            </w:r>
            <w:r>
              <w:rPr>
                <w:color w:val="3A3A3A"/>
                <w:sz w:val="20"/>
              </w:rPr>
              <w:t>20 – 30 s</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Post-traitement (fusion, clustering)</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&lt; 30 s</w:t>
            </w:r>
          </w:p>
        </w:tc>
      </w:tr>
    </w:tbl>
    <w:p>
      <w:pPr>
        <w:pStyle w:val="Normal"/>
        <w:rPr/>
      </w:pPr>
      <w:r>
        <w:rPr/>
      </w:r>
    </w:p>
    <w:p>
      <w:pPr>
        <w:pStyle w:val="Normal"/>
        <w:spacing w:before="40" w:after="80"/>
        <w:jc w:val="center"/>
        <w:rPr/>
      </w:pPr>
      <w:r>
        <w:rPr>
          <w:b/>
          <w:i/>
          <w:color w:val="1F2E5E"/>
          <w:sz w:val="19"/>
        </w:rPr>
        <w:t xml:space="preserve">Tableau </w:t>
      </w:r>
      <w:r>
        <w:rPr/>
        <w:fldChar w:fldCharType="begin"/>
      </w:r>
      <w:r>
        <w:rPr/>
        <w:instrText xml:space="preserve"> SEQ Tableau \* ARABIC </w:instrText>
      </w:r>
      <w:r>
        <w:rPr/>
        <w:fldChar w:fldCharType="separate"/>
      </w:r>
      <w:r>
        <w:rPr/>
        <w:t>3</w:t>
      </w:r>
      <w:r>
        <w:rPr/>
        <w:fldChar w:fldCharType="end"/>
      </w:r>
      <w:r>
        <w:rPr>
          <w:i/>
          <w:color w:val="666666"/>
          <w:sz w:val="19"/>
        </w:rPr>
        <w:t xml:space="preserve">  —  Temps indicatifs par étape du pipeline</w:t>
      </w:r>
    </w:p>
    <w:p>
      <w:pPr>
        <w:pStyle w:val="Heading2"/>
        <w:rPr/>
      </w:pPr>
      <w:bookmarkStart w:id="49" w:name="__RefHeading___Toc3973_1193836322"/>
      <w:bookmarkEnd w:id="49"/>
      <w:r>
        <w:rPr>
          <w:rFonts w:ascii="Segoe UI" w:hAnsi="Segoe UI"/>
          <w:b/>
          <w:color w:val="1F2E5E"/>
          <w:sz w:val="32"/>
        </w:rPr>
        <w:t>8.3 Leviers d'optimisation</w:t>
      </w:r>
    </w:p>
    <w:p>
      <w:pPr>
        <w:pStyle w:val="Normal"/>
        <w:spacing w:lineRule="exact" w:line="320" w:before="0" w:after="160"/>
        <w:rPr/>
      </w:pPr>
      <w:r>
        <w:rPr>
          <w:color w:val="3A3A3A"/>
          <w:sz w:val="22"/>
        </w:rPr>
        <w:t>En mode Expert, plusieurs leviers permettent d'accélérer un traitement :</w:t>
      </w:r>
    </w:p>
    <w:p>
      <w:pPr>
        <w:pStyle w:val="Normal"/>
        <w:spacing w:before="0" w:after="80"/>
        <w:ind w:hanging="283" w:left="850"/>
        <w:rPr/>
      </w:pPr>
      <w:r>
        <w:rPr>
          <w:color w:val="3A3A3A"/>
          <w:sz w:val="22"/>
        </w:rPr>
        <w:t xml:space="preserve">•  </w:t>
      </w:r>
      <w:r>
        <w:rPr>
          <w:color w:val="3A3A3A"/>
          <w:sz w:val="22"/>
        </w:rPr>
        <w:t>Augmenter le nombre de Workers (jusqu'au nombre de cœurs physiques)</w:t>
      </w:r>
    </w:p>
    <w:p>
      <w:pPr>
        <w:pStyle w:val="Normal"/>
        <w:spacing w:before="0" w:after="80"/>
        <w:ind w:hanging="283" w:left="850"/>
        <w:rPr/>
      </w:pPr>
      <w:r>
        <w:rPr>
          <w:color w:val="3A3A3A"/>
          <w:sz w:val="22"/>
        </w:rPr>
        <w:t xml:space="preserve">•  </w:t>
      </w:r>
      <w:r>
        <w:rPr>
          <w:color w:val="3A3A3A"/>
          <w:sz w:val="22"/>
        </w:rPr>
        <w:t>Baisser la résolution du MNT (ex : 1 m au lieu de 0,5 m → divise le temps par 4)</w:t>
      </w:r>
    </w:p>
    <w:p>
      <w:pPr>
        <w:pStyle w:val="Normal"/>
        <w:spacing w:before="0" w:after="80"/>
        <w:ind w:hanging="283" w:left="850"/>
        <w:rPr/>
      </w:pPr>
      <w:r>
        <w:rPr>
          <w:color w:val="3A3A3A"/>
          <w:sz w:val="22"/>
        </w:rPr>
        <w:t xml:space="preserve">•  </w:t>
      </w:r>
      <w:r>
        <w:rPr>
          <w:color w:val="3A3A3A"/>
          <w:sz w:val="22"/>
        </w:rPr>
        <w:t>Décocher les indices RVT non exploités par la Computer Vision</w:t>
      </w:r>
    </w:p>
    <w:p>
      <w:pPr>
        <w:pStyle w:val="Normal"/>
        <w:spacing w:before="0" w:after="80"/>
        <w:ind w:hanging="283" w:left="850"/>
        <w:rPr/>
      </w:pPr>
      <w:r>
        <w:rPr>
          <w:color w:val="3A3A3A"/>
          <w:sz w:val="22"/>
        </w:rPr>
        <w:t xml:space="preserve">•  </w:t>
      </w:r>
      <w:r>
        <w:rPr>
          <w:color w:val="3A3A3A"/>
          <w:sz w:val="22"/>
        </w:rPr>
        <w:t>Désactiver la génération d'images annotées si non nécessaire</w:t>
      </w:r>
    </w:p>
    <w:p>
      <w:pPr>
        <w:pStyle w:val="Normal"/>
        <w:spacing w:before="0" w:after="80"/>
        <w:ind w:hanging="283" w:left="850"/>
        <w:rPr/>
      </w:pPr>
      <w:r>
        <w:rPr>
          <w:color w:val="3A3A3A"/>
          <w:sz w:val="22"/>
        </w:rPr>
        <w:t xml:space="preserve">•  </w:t>
      </w:r>
      <w:r>
        <w:rPr>
          <w:color w:val="3A3A3A"/>
          <w:sz w:val="22"/>
        </w:rPr>
        <w:t>Traiter la zone en sous-zones successives plutôt qu'en une seule passe</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FDF4E5"/>
              <w:left w:val="single" w:sz="18" w:space="0" w:color="B34000"/>
              <w:bottom w:val="single" w:sz="4" w:space="0" w:color="FDF4E5"/>
              <w:right w:val="single" w:sz="4" w:space="0" w:color="FDF4E5"/>
            </w:tcBorders>
            <w:shd w:fill="FDF4E5" w:val="clear"/>
          </w:tcPr>
          <w:p>
            <w:pPr>
              <w:pStyle w:val="Normal"/>
              <w:widowControl/>
              <w:bidi w:val="0"/>
              <w:spacing w:lineRule="auto" w:line="324" w:before="0" w:after="200"/>
              <w:jc w:val="left"/>
              <w:rPr/>
            </w:pPr>
            <w:r>
              <w:rPr>
                <w:b/>
                <w:color w:val="B34000"/>
                <w:sz w:val="21"/>
              </w:rPr>
              <w:t xml:space="preserve">⚠️ </w:t>
            </w:r>
            <w:r>
              <w:rPr>
                <w:b/>
                <w:color w:val="B34000"/>
                <w:sz w:val="21"/>
              </w:rPr>
              <w:t xml:space="preserve">Attention — </w:t>
            </w:r>
            <w:r>
              <w:rPr>
                <w:color w:val="71500D"/>
                <w:sz w:val="21"/>
              </w:rPr>
              <w:t>Plus de Workers = plus de RAM consommée. Sur un poste 16 Go, rester sur 2–4 Workers pour éviter les erreurs mémoire.</w:t>
            </w:r>
          </w:p>
        </w:tc>
      </w:tr>
    </w:tbl>
    <w:p>
      <w:pPr>
        <w:pStyle w:val="Normal"/>
        <w:rPr/>
      </w:pPr>
      <w:r>
        <w:rPr/>
      </w:r>
    </w:p>
    <w:p>
      <w:pPr>
        <w:pStyle w:val="Heading2"/>
        <w:rPr/>
      </w:pPr>
      <w:bookmarkStart w:id="50" w:name="__RefHeading___Toc3975_1193836322"/>
      <w:bookmarkEnd w:id="50"/>
      <w:r>
        <w:rPr>
          <w:rFonts w:ascii="Segoe UI" w:hAnsi="Segoe UI"/>
          <w:b/>
          <w:color w:val="1F2E5E"/>
          <w:sz w:val="32"/>
        </w:rPr>
        <w:t>8.4 Pour les grandes zones</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E3F5E1"/>
              <w:left w:val="single" w:sz="18" w:space="0" w:color="18753C"/>
              <w:bottom w:val="single" w:sz="4" w:space="0" w:color="E3F5E1"/>
              <w:right w:val="single" w:sz="4" w:space="0" w:color="E3F5E1"/>
            </w:tcBorders>
            <w:shd w:fill="E3F5E1" w:val="clear"/>
          </w:tcPr>
          <w:p>
            <w:pPr>
              <w:pStyle w:val="Normal"/>
              <w:widowControl/>
              <w:bidi w:val="0"/>
              <w:spacing w:lineRule="auto" w:line="324" w:before="0" w:after="200"/>
              <w:jc w:val="left"/>
              <w:rPr/>
            </w:pPr>
            <w:r>
              <w:rPr>
                <w:b/>
                <w:color w:val="18753C"/>
                <w:sz w:val="21"/>
              </w:rPr>
              <w:t xml:space="preserve">✅ </w:t>
            </w:r>
            <w:r>
              <w:rPr>
                <w:b/>
                <w:color w:val="18753C"/>
                <w:sz w:val="21"/>
              </w:rPr>
              <w:t xml:space="preserve">À retenir — </w:t>
            </w:r>
            <w:r>
              <w:rPr>
                <w:color w:val="18753C"/>
                <w:sz w:val="21"/>
              </w:rPr>
              <w:t>Pour une zone &gt; 50 km² : commencez par un test sur 1–2 dalles pour valider votre configuration, puis lancez la zone complète avec le profil sauvegardé.</w:t>
            </w:r>
          </w:p>
        </w:tc>
      </w:tr>
    </w:tbl>
    <w:p>
      <w:pPr>
        <w:pStyle w:val="Normal"/>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F4E8F8"/>
              <w:left w:val="single" w:sz="18" w:space="0" w:color="6E2B82"/>
              <w:bottom w:val="single" w:sz="4" w:space="0" w:color="F4E8F8"/>
              <w:right w:val="single" w:sz="4" w:space="0" w:color="F4E8F8"/>
            </w:tcBorders>
            <w:shd w:fill="F4E8F8" w:val="clear"/>
          </w:tcPr>
          <w:p>
            <w:pPr>
              <w:pStyle w:val="Normal"/>
              <w:widowControl/>
              <w:bidi w:val="0"/>
              <w:spacing w:lineRule="auto" w:line="324" w:before="0" w:after="200"/>
              <w:jc w:val="left"/>
              <w:rPr/>
            </w:pPr>
            <w:r>
              <w:rPr>
                <w:b/>
                <w:color w:val="6E2B82"/>
                <w:sz w:val="21"/>
              </w:rPr>
              <w:t xml:space="preserve">📌 </w:t>
            </w:r>
            <w:r>
              <w:rPr>
                <w:b/>
                <w:color w:val="6E2B82"/>
                <w:sz w:val="21"/>
              </w:rPr>
              <w:t xml:space="preserve">Exemple — </w:t>
            </w:r>
            <w:r>
              <w:rPr>
                <w:color w:val="6E2B82"/>
                <w:sz w:val="21"/>
              </w:rPr>
              <w:t>Une zone de 100 km² avec MNT + LD + SVF + 1 modèle CV, sur un poste 8 cœurs / 32 Go / GPU RTX : prévoir environ 3 à 5 heures de traitement.</w:t>
            </w:r>
          </w:p>
        </w:tc>
      </w:tr>
    </w:tbl>
    <w:p>
      <w:pPr>
        <w:pStyle w:val="Normal"/>
        <w:rPr/>
      </w:pPr>
      <w:r>
        <w:rPr/>
      </w:r>
      <w:r>
        <w:br w:type="page"/>
      </w:r>
    </w:p>
    <w:p>
      <w:pPr>
        <w:pStyle w:val="Heading1"/>
        <w:pBdr>
          <w:left w:val="single" w:sz="36" w:space="10" w:color="000091"/>
        </w:pBdr>
        <w:spacing w:before="0" w:after="120"/>
        <w:ind w:left="170"/>
        <w:rPr/>
      </w:pPr>
      <w:bookmarkStart w:id="51" w:name="__RefHeading___Toc3977_1193836322"/>
      <w:bookmarkEnd w:id="51"/>
      <w:r>
        <w:rPr>
          <w:rFonts w:ascii="Segoe UI" w:hAnsi="Segoe UI"/>
          <w:b/>
          <w:color w:val="000091"/>
          <w:sz w:val="44"/>
        </w:rPr>
        <w:t xml:space="preserve">🩹  </w:t>
      </w:r>
      <w:r>
        <w:rPr>
          <w:rFonts w:ascii="Segoe UI" w:hAnsi="Segoe UI"/>
          <w:b/>
          <w:color w:val="000091"/>
          <w:sz w:val="44"/>
        </w:rPr>
        <w:t>9. Dépannage</w:t>
      </w:r>
    </w:p>
    <w:p>
      <w:pPr>
        <w:pStyle w:val="Normal"/>
        <w:pBdr>
          <w:bottom w:val="single" w:sz="12" w:space="1" w:color="6A6AF4"/>
        </w:pBdr>
        <w:spacing w:before="0" w:after="120"/>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6A6AF4"/>
              <w:left w:val="single" w:sz="4" w:space="0" w:color="6A6AF4"/>
              <w:bottom w:val="single" w:sz="4" w:space="0" w:color="6A6AF4"/>
              <w:right w:val="single" w:sz="4" w:space="0" w:color="6A6AF4"/>
            </w:tcBorders>
            <w:shd w:fill="F2F2FE" w:val="clear"/>
          </w:tcPr>
          <w:p>
            <w:pPr>
              <w:pStyle w:val="Normal"/>
              <w:spacing w:before="40" w:after="80"/>
              <w:rPr/>
            </w:pPr>
            <w:r>
              <w:rPr>
                <w:b/>
                <w:color w:val="000091"/>
                <w:sz w:val="20"/>
              </w:rPr>
              <w:t xml:space="preserve">👁️  </w:t>
            </w:r>
            <w:r>
              <w:rPr>
                <w:b/>
                <w:color w:val="000091"/>
                <w:sz w:val="20"/>
              </w:rPr>
              <w:t>EN UN COUP D'ŒIL</w:t>
            </w:r>
            <w:r>
              <w:rPr>
                <w:i/>
                <w:color w:val="666666"/>
                <w:sz w:val="18"/>
              </w:rPr>
              <w:t xml:space="preserve">   •   ⏱ 3 min de lecture</w:t>
            </w:r>
          </w:p>
          <w:p>
            <w:pPr>
              <w:pStyle w:val="Normal"/>
              <w:spacing w:before="20" w:after="20"/>
              <w:ind w:left="170"/>
              <w:rPr/>
            </w:pPr>
            <w:r>
              <w:rPr>
                <w:b/>
                <w:color w:val="6A6AF4"/>
                <w:sz w:val="21"/>
              </w:rPr>
              <w:t xml:space="preserve">•  </w:t>
            </w:r>
            <w:r>
              <w:rPr>
                <w:color w:val="3A3A3A"/>
                <w:sz w:val="21"/>
              </w:rPr>
              <w:t>Erreurs courantes sous forme de cartes Q/R</w:t>
            </w:r>
          </w:p>
          <w:p>
            <w:pPr>
              <w:pStyle w:val="Normal"/>
              <w:spacing w:before="20" w:after="20"/>
              <w:ind w:left="170"/>
              <w:rPr/>
            </w:pPr>
            <w:r>
              <w:rPr>
                <w:b/>
                <w:color w:val="6A6AF4"/>
                <w:sz w:val="21"/>
              </w:rPr>
              <w:t xml:space="preserve">•  </w:t>
            </w:r>
            <w:r>
              <w:rPr>
                <w:color w:val="3A3A3A"/>
                <w:sz w:val="21"/>
              </w:rPr>
              <w:t>Problèmes de lancement du plugin</w:t>
            </w:r>
          </w:p>
          <w:p>
            <w:pPr>
              <w:pStyle w:val="Normal"/>
              <w:spacing w:before="20" w:after="20"/>
              <w:ind w:left="170"/>
              <w:rPr/>
            </w:pPr>
            <w:r>
              <w:rPr>
                <w:b/>
                <w:color w:val="6A6AF4"/>
                <w:sz w:val="21"/>
              </w:rPr>
              <w:t xml:space="preserve">•  </w:t>
            </w:r>
            <w:r>
              <w:rPr>
                <w:color w:val="3A3A3A"/>
                <w:sz w:val="21"/>
              </w:rPr>
              <w:t>Computer Vision qui ne produit pas de détection</w:t>
            </w:r>
          </w:p>
        </w:tc>
      </w:tr>
    </w:tbl>
    <w:p>
      <w:pPr>
        <w:pStyle w:val="Normal"/>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6" w:space="0" w:color="E1000F"/>
              <w:left w:val="single" w:sz="6" w:space="0" w:color="E1000F"/>
              <w:bottom w:val="single" w:sz="2" w:space="0" w:color="F5C2C3"/>
              <w:right w:val="single" w:sz="6" w:space="0" w:color="E1000F"/>
            </w:tcBorders>
            <w:shd w:fill="FEE9E9" w:val="clear"/>
          </w:tcPr>
          <w:p>
            <w:pPr>
              <w:pStyle w:val="Normal"/>
              <w:spacing w:before="80" w:after="80"/>
              <w:rPr/>
            </w:pPr>
            <w:r>
              <w:rPr>
                <w:sz w:val="22"/>
              </w:rPr>
              <w:t xml:space="preserve">❓  </w:t>
            </w:r>
            <w:r>
              <w:rPr>
                <w:b/>
                <w:color w:val="E1000F"/>
                <w:sz w:val="22"/>
              </w:rPr>
              <w:t>Le plugin ne se lance pas</w:t>
            </w:r>
          </w:p>
        </w:tc>
      </w:tr>
      <w:tr>
        <w:trPr/>
        <w:tc>
          <w:tcPr>
            <w:tcW w:w="9972" w:type="dxa"/>
            <w:tcBorders>
              <w:top w:val="single" w:sz="2" w:space="0" w:color="F5C2C3"/>
              <w:left w:val="single" w:sz="6" w:space="0" w:color="E1000F"/>
              <w:bottom w:val="single" w:sz="6" w:space="0" w:color="E1000F"/>
              <w:right w:val="single" w:sz="6" w:space="0" w:color="E1000F"/>
            </w:tcBorders>
            <w:shd w:fill="FFFFFF" w:val="clear"/>
          </w:tcPr>
          <w:p>
            <w:pPr>
              <w:pStyle w:val="Normal"/>
              <w:spacing w:before="40" w:after="40"/>
              <w:ind w:left="170"/>
              <w:rPr/>
            </w:pPr>
            <w:r>
              <w:rPr>
                <w:b/>
                <w:color w:val="E1000F"/>
                <w:sz w:val="21"/>
              </w:rPr>
              <w:t xml:space="preserve">➜  </w:t>
            </w:r>
            <w:r>
              <w:rPr>
                <w:color w:val="3A3A3A"/>
                <w:sz w:val="21"/>
              </w:rPr>
              <w:t>Vérifier que QGIS est bien installé via le paquet OSGeo4W.</w:t>
            </w:r>
          </w:p>
          <w:p>
            <w:pPr>
              <w:pStyle w:val="Normal"/>
              <w:spacing w:before="40" w:after="40"/>
              <w:ind w:left="170"/>
              <w:rPr/>
            </w:pPr>
            <w:r>
              <w:rPr>
                <w:b/>
                <w:color w:val="E1000F"/>
                <w:sz w:val="21"/>
              </w:rPr>
              <w:t xml:space="preserve">➜  </w:t>
            </w:r>
            <w:r>
              <w:rPr>
                <w:color w:val="3A3A3A"/>
                <w:sz w:val="21"/>
              </w:rPr>
              <w:t>Relancer QGIS en tant qu'administrateur si un problème de permissions est affiché.</w:t>
            </w:r>
          </w:p>
        </w:tc>
      </w:tr>
    </w:tbl>
    <w:p>
      <w:pPr>
        <w:pStyle w:val="Normal"/>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6" w:space="0" w:color="E1000F"/>
              <w:left w:val="single" w:sz="6" w:space="0" w:color="E1000F"/>
              <w:bottom w:val="single" w:sz="2" w:space="0" w:color="F5C2C3"/>
              <w:right w:val="single" w:sz="6" w:space="0" w:color="E1000F"/>
            </w:tcBorders>
            <w:shd w:fill="FEE9E9" w:val="clear"/>
          </w:tcPr>
          <w:p>
            <w:pPr>
              <w:pStyle w:val="Normal"/>
              <w:spacing w:before="80" w:after="80"/>
              <w:rPr/>
            </w:pPr>
            <w:r>
              <w:rPr>
                <w:sz w:val="22"/>
              </w:rPr>
              <w:t xml:space="preserve">❓  </w:t>
            </w:r>
            <w:r>
              <w:rPr>
                <w:b/>
                <w:color w:val="E1000F"/>
                <w:sz w:val="22"/>
              </w:rPr>
              <w:t>"Fichier quadrillage IGN introuvable"</w:t>
            </w:r>
          </w:p>
        </w:tc>
      </w:tr>
      <w:tr>
        <w:trPr/>
        <w:tc>
          <w:tcPr>
            <w:tcW w:w="9972" w:type="dxa"/>
            <w:tcBorders>
              <w:top w:val="single" w:sz="2" w:space="0" w:color="F5C2C3"/>
              <w:left w:val="single" w:sz="6" w:space="0" w:color="E1000F"/>
              <w:bottom w:val="single" w:sz="6" w:space="0" w:color="E1000F"/>
              <w:right w:val="single" w:sz="6" w:space="0" w:color="E1000F"/>
            </w:tcBorders>
            <w:shd w:fill="FFFFFF" w:val="clear"/>
          </w:tcPr>
          <w:p>
            <w:pPr>
              <w:pStyle w:val="Normal"/>
              <w:spacing w:before="40" w:after="40"/>
              <w:ind w:left="170"/>
              <w:rPr/>
            </w:pPr>
            <w:r>
              <w:rPr>
                <w:b/>
                <w:color w:val="E1000F"/>
                <w:sz w:val="21"/>
              </w:rPr>
              <w:t xml:space="preserve">➜  </w:t>
            </w:r>
            <w:r>
              <w:rPr>
                <w:color w:val="3A3A3A"/>
                <w:sz w:val="21"/>
              </w:rPr>
              <w:t>Le fichier data/quadrillage_france/TA_diff_pkk_lidarhd_classe.shp est absent.</w:t>
            </w:r>
          </w:p>
          <w:p>
            <w:pPr>
              <w:pStyle w:val="Normal"/>
              <w:spacing w:before="40" w:after="40"/>
              <w:ind w:left="170"/>
              <w:rPr/>
            </w:pPr>
            <w:r>
              <w:rPr>
                <w:b/>
                <w:color w:val="E1000F"/>
                <w:sz w:val="21"/>
              </w:rPr>
              <w:t xml:space="preserve">➜  </w:t>
            </w:r>
            <w:r>
              <w:rPr>
                <w:color w:val="3A3A3A"/>
                <w:sz w:val="21"/>
              </w:rPr>
              <w:t>Télécharger le fichier de grille IGN et le placer dans ce dossier.</w:t>
            </w:r>
          </w:p>
        </w:tc>
      </w:tr>
    </w:tbl>
    <w:p>
      <w:pPr>
        <w:pStyle w:val="Normal"/>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6" w:space="0" w:color="E1000F"/>
              <w:left w:val="single" w:sz="6" w:space="0" w:color="E1000F"/>
              <w:bottom w:val="single" w:sz="2" w:space="0" w:color="F5C2C3"/>
              <w:right w:val="single" w:sz="6" w:space="0" w:color="E1000F"/>
            </w:tcBorders>
            <w:shd w:fill="FEE9E9" w:val="clear"/>
          </w:tcPr>
          <w:p>
            <w:pPr>
              <w:pStyle w:val="Normal"/>
              <w:spacing w:before="80" w:after="80"/>
              <w:rPr/>
            </w:pPr>
            <w:r>
              <w:rPr>
                <w:sz w:val="22"/>
              </w:rPr>
              <w:t xml:space="preserve">❓  </w:t>
            </w:r>
            <w:r>
              <w:rPr>
                <w:b/>
                <w:color w:val="E1000F"/>
                <w:sz w:val="22"/>
              </w:rPr>
              <w:t>"Runner ONNX introuvable"</w:t>
            </w:r>
          </w:p>
        </w:tc>
      </w:tr>
      <w:tr>
        <w:trPr/>
        <w:tc>
          <w:tcPr>
            <w:tcW w:w="9972" w:type="dxa"/>
            <w:tcBorders>
              <w:top w:val="single" w:sz="2" w:space="0" w:color="F5C2C3"/>
              <w:left w:val="single" w:sz="6" w:space="0" w:color="E1000F"/>
              <w:bottom w:val="single" w:sz="6" w:space="0" w:color="E1000F"/>
              <w:right w:val="single" w:sz="6" w:space="0" w:color="E1000F"/>
            </w:tcBorders>
            <w:shd w:fill="FFFFFF" w:val="clear"/>
          </w:tcPr>
          <w:p>
            <w:pPr>
              <w:pStyle w:val="Normal"/>
              <w:spacing w:before="40" w:after="40"/>
              <w:ind w:left="170"/>
              <w:rPr/>
            </w:pPr>
            <w:r>
              <w:rPr>
                <w:b/>
                <w:color w:val="E1000F"/>
                <w:sz w:val="21"/>
              </w:rPr>
              <w:t xml:space="preserve">➜  </w:t>
            </w:r>
            <w:r>
              <w:rPr>
                <w:color w:val="3A3A3A"/>
                <w:sz w:val="21"/>
              </w:rPr>
              <w:t>Le fichier data/third_party/cv_runner_onnx/windows/cv_runner_onnx.exe est absent.</w:t>
            </w:r>
          </w:p>
          <w:p>
            <w:pPr>
              <w:pStyle w:val="Normal"/>
              <w:spacing w:before="40" w:after="40"/>
              <w:ind w:left="170"/>
              <w:rPr/>
            </w:pPr>
            <w:r>
              <w:rPr>
                <w:b/>
                <w:color w:val="E1000F"/>
                <w:sz w:val="21"/>
              </w:rPr>
              <w:t xml:space="preserve">➜  </w:t>
            </w:r>
            <w:r>
              <w:rPr>
                <w:color w:val="3A3A3A"/>
                <w:sz w:val="21"/>
              </w:rPr>
              <w:t>Placer le fichier cv_runner_onnx.exe fourni séparément dans ce dossier.</w:t>
            </w:r>
          </w:p>
        </w:tc>
      </w:tr>
    </w:tbl>
    <w:p>
      <w:pPr>
        <w:pStyle w:val="Normal"/>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6" w:space="0" w:color="E1000F"/>
              <w:left w:val="single" w:sz="6" w:space="0" w:color="E1000F"/>
              <w:bottom w:val="single" w:sz="2" w:space="0" w:color="F5C2C3"/>
              <w:right w:val="single" w:sz="6" w:space="0" w:color="E1000F"/>
            </w:tcBorders>
            <w:shd w:fill="FEE9E9" w:val="clear"/>
          </w:tcPr>
          <w:p>
            <w:pPr>
              <w:pStyle w:val="Normal"/>
              <w:spacing w:before="80" w:after="80"/>
              <w:rPr/>
            </w:pPr>
            <w:r>
              <w:rPr>
                <w:sz w:val="22"/>
              </w:rPr>
              <w:t xml:space="preserve">❓  </w:t>
            </w:r>
            <w:r>
              <w:rPr>
                <w:b/>
                <w:color w:val="E1000F"/>
                <w:sz w:val="22"/>
              </w:rPr>
              <w:t>"Aucun modèle disponible" dans la liste CV</w:t>
            </w:r>
          </w:p>
        </w:tc>
      </w:tr>
      <w:tr>
        <w:trPr/>
        <w:tc>
          <w:tcPr>
            <w:tcW w:w="9972" w:type="dxa"/>
            <w:tcBorders>
              <w:top w:val="single" w:sz="2" w:space="0" w:color="F5C2C3"/>
              <w:left w:val="single" w:sz="6" w:space="0" w:color="E1000F"/>
              <w:bottom w:val="single" w:sz="6" w:space="0" w:color="E1000F"/>
              <w:right w:val="single" w:sz="6" w:space="0" w:color="E1000F"/>
            </w:tcBorders>
            <w:shd w:fill="FFFFFF" w:val="clear"/>
          </w:tcPr>
          <w:p>
            <w:pPr>
              <w:pStyle w:val="Normal"/>
              <w:spacing w:before="40" w:after="40"/>
              <w:ind w:left="170"/>
              <w:rPr/>
            </w:pPr>
            <w:r>
              <w:rPr>
                <w:b/>
                <w:color w:val="E1000F"/>
                <w:sz w:val="21"/>
              </w:rPr>
              <w:t xml:space="preserve">➜  </w:t>
            </w:r>
            <w:r>
              <w:rPr>
                <w:color w:val="3A3A3A"/>
                <w:sz w:val="21"/>
              </w:rPr>
              <w:t>Le dossier data/models/ est vide ou mal structuré.</w:t>
            </w:r>
          </w:p>
          <w:p>
            <w:pPr>
              <w:pStyle w:val="Normal"/>
              <w:spacing w:before="40" w:after="40"/>
              <w:ind w:left="170"/>
              <w:rPr/>
            </w:pPr>
            <w:r>
              <w:rPr>
                <w:b/>
                <w:color w:val="E1000F"/>
                <w:sz w:val="21"/>
              </w:rPr>
              <w:t xml:space="preserve">➜  </w:t>
            </w:r>
            <w:r>
              <w:rPr>
                <w:color w:val="3A3A3A"/>
                <w:sz w:val="21"/>
              </w:rPr>
              <w:t>Chaque modèle doit être dans un sous-dossier contenant au minimum weights/best.onnx.</w:t>
            </w:r>
          </w:p>
        </w:tc>
      </w:tr>
    </w:tbl>
    <w:p>
      <w:pPr>
        <w:pStyle w:val="Normal"/>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6" w:space="0" w:color="E1000F"/>
              <w:left w:val="single" w:sz="6" w:space="0" w:color="E1000F"/>
              <w:bottom w:val="single" w:sz="2" w:space="0" w:color="F5C2C3"/>
              <w:right w:val="single" w:sz="6" w:space="0" w:color="E1000F"/>
            </w:tcBorders>
            <w:shd w:fill="FEE9E9" w:val="clear"/>
          </w:tcPr>
          <w:p>
            <w:pPr>
              <w:pStyle w:val="Normal"/>
              <w:spacing w:before="80" w:after="80"/>
              <w:rPr/>
            </w:pPr>
            <w:r>
              <w:rPr>
                <w:sz w:val="22"/>
              </w:rPr>
              <w:t xml:space="preserve">❓  </w:t>
            </w:r>
            <w:r>
              <w:rPr>
                <w:b/>
                <w:color w:val="E1000F"/>
                <w:sz w:val="22"/>
              </w:rPr>
              <w:t>Le traitement s'arrête en cours de route</w:t>
            </w:r>
          </w:p>
        </w:tc>
      </w:tr>
      <w:tr>
        <w:trPr/>
        <w:tc>
          <w:tcPr>
            <w:tcW w:w="9972" w:type="dxa"/>
            <w:tcBorders>
              <w:top w:val="single" w:sz="2" w:space="0" w:color="F5C2C3"/>
              <w:left w:val="single" w:sz="6" w:space="0" w:color="E1000F"/>
              <w:bottom w:val="single" w:sz="6" w:space="0" w:color="E1000F"/>
              <w:right w:val="single" w:sz="6" w:space="0" w:color="E1000F"/>
            </w:tcBorders>
            <w:shd w:fill="FFFFFF" w:val="clear"/>
          </w:tcPr>
          <w:p>
            <w:pPr>
              <w:pStyle w:val="Normal"/>
              <w:spacing w:before="40" w:after="40"/>
              <w:ind w:left="170"/>
              <w:rPr/>
            </w:pPr>
            <w:r>
              <w:rPr>
                <w:b/>
                <w:color w:val="E1000F"/>
                <w:sz w:val="21"/>
              </w:rPr>
              <w:t xml:space="preserve">➜  </w:t>
            </w:r>
            <w:r>
              <w:rPr>
                <w:color w:val="3A3A3A"/>
                <w:sz w:val="21"/>
              </w:rPr>
              <w:t>Consulter le fichier de log (pipeline_log_*.txt) dans le dossier de sortie.</w:t>
            </w:r>
          </w:p>
          <w:p>
            <w:pPr>
              <w:pStyle w:val="Normal"/>
              <w:spacing w:before="40" w:after="40"/>
              <w:ind w:left="170"/>
              <w:rPr/>
            </w:pPr>
            <w:r>
              <w:rPr>
                <w:b/>
                <w:color w:val="E1000F"/>
                <w:sz w:val="21"/>
              </w:rPr>
              <w:t xml:space="preserve">➜  </w:t>
            </w:r>
            <w:r>
              <w:rPr>
                <w:color w:val="3A3A3A"/>
                <w:sz w:val="21"/>
              </w:rPr>
              <w:t>Les erreurs sont préfixées par [ERROR].</w:t>
            </w:r>
          </w:p>
        </w:tc>
      </w:tr>
    </w:tbl>
    <w:p>
      <w:pPr>
        <w:pStyle w:val="Normal"/>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6" w:space="0" w:color="E1000F"/>
              <w:left w:val="single" w:sz="6" w:space="0" w:color="E1000F"/>
              <w:bottom w:val="single" w:sz="2" w:space="0" w:color="F5C2C3"/>
              <w:right w:val="single" w:sz="6" w:space="0" w:color="E1000F"/>
            </w:tcBorders>
            <w:shd w:fill="FEE9E9" w:val="clear"/>
          </w:tcPr>
          <w:p>
            <w:pPr>
              <w:pStyle w:val="Normal"/>
              <w:spacing w:before="80" w:after="80"/>
              <w:rPr/>
            </w:pPr>
            <w:r>
              <w:rPr>
                <w:sz w:val="22"/>
              </w:rPr>
              <w:t xml:space="preserve">❓  </w:t>
            </w:r>
            <w:r>
              <w:rPr>
                <w:b/>
                <w:color w:val="E1000F"/>
                <w:sz w:val="22"/>
              </w:rPr>
              <w:t>La détection CV ne produit aucun résultat</w:t>
            </w:r>
          </w:p>
        </w:tc>
      </w:tr>
      <w:tr>
        <w:trPr/>
        <w:tc>
          <w:tcPr>
            <w:tcW w:w="9972" w:type="dxa"/>
            <w:tcBorders>
              <w:top w:val="single" w:sz="2" w:space="0" w:color="F5C2C3"/>
              <w:left w:val="single" w:sz="6" w:space="0" w:color="E1000F"/>
              <w:bottom w:val="single" w:sz="6" w:space="0" w:color="E1000F"/>
              <w:right w:val="single" w:sz="6" w:space="0" w:color="E1000F"/>
            </w:tcBorders>
            <w:shd w:fill="FFFFFF" w:val="clear"/>
          </w:tcPr>
          <w:p>
            <w:pPr>
              <w:pStyle w:val="Normal"/>
              <w:spacing w:before="40" w:after="40"/>
              <w:ind w:left="170"/>
              <w:rPr/>
            </w:pPr>
            <w:r>
              <w:rPr>
                <w:b/>
                <w:color w:val="E1000F"/>
                <w:sz w:val="21"/>
              </w:rPr>
              <w:t xml:space="preserve">➜  </w:t>
            </w:r>
            <w:r>
              <w:rPr>
                <w:color w:val="3A3A3A"/>
                <w:sz w:val="21"/>
              </w:rPr>
              <w:t>Vérifier que le seuil de confiance n'est pas trop élevé (essayer 0.1 pour commencer).</w:t>
            </w:r>
          </w:p>
          <w:p>
            <w:pPr>
              <w:pStyle w:val="Normal"/>
              <w:spacing w:before="40" w:after="40"/>
              <w:ind w:left="170"/>
              <w:rPr/>
            </w:pPr>
            <w:r>
              <w:rPr>
                <w:b/>
                <w:color w:val="E1000F"/>
                <w:sz w:val="21"/>
              </w:rPr>
              <w:t xml:space="preserve">➜  </w:t>
            </w:r>
            <w:r>
              <w:rPr>
                <w:color w:val="3A3A3A"/>
                <w:sz w:val="21"/>
              </w:rPr>
              <w:t>Vérifier que l'indice cible du modèle correspond bien à un indice calculé (ex : un modèle entraîné sur LD nécessite que LD soit coché).</w:t>
            </w:r>
          </w:p>
          <w:p>
            <w:pPr>
              <w:pStyle w:val="Normal"/>
              <w:spacing w:before="40" w:after="40"/>
              <w:ind w:left="170"/>
              <w:rPr/>
            </w:pPr>
            <w:r>
              <w:rPr>
                <w:b/>
                <w:color w:val="E1000F"/>
                <w:sz w:val="21"/>
              </w:rPr>
              <w:t xml:space="preserve">➜  </w:t>
            </w:r>
            <w:r>
              <w:rPr>
                <w:color w:val="3A3A3A"/>
                <w:sz w:val="21"/>
              </w:rPr>
              <w:t>Vérifier que des classes sont bien sélectionnées dans la liste.</w:t>
            </w:r>
          </w:p>
        </w:tc>
      </w:tr>
    </w:tbl>
    <w:p>
      <w:pPr>
        <w:pStyle w:val="Normal"/>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6" w:space="0" w:color="E1000F"/>
              <w:left w:val="single" w:sz="6" w:space="0" w:color="E1000F"/>
              <w:bottom w:val="single" w:sz="2" w:space="0" w:color="F5C2C3"/>
              <w:right w:val="single" w:sz="6" w:space="0" w:color="E1000F"/>
            </w:tcBorders>
            <w:shd w:fill="FEE9E9" w:val="clear"/>
          </w:tcPr>
          <w:p>
            <w:pPr>
              <w:pStyle w:val="Normal"/>
              <w:spacing w:before="80" w:after="80"/>
              <w:rPr/>
            </w:pPr>
            <w:r>
              <w:rPr>
                <w:sz w:val="22"/>
              </w:rPr>
              <w:t xml:space="preserve">❓  </w:t>
            </w:r>
            <w:r>
              <w:rPr>
                <w:b/>
                <w:color w:val="E1000F"/>
                <w:sz w:val="22"/>
              </w:rPr>
              <w:t>Les couches ne se chargent pas dans QGIS après le traitement</w:t>
            </w:r>
          </w:p>
        </w:tc>
      </w:tr>
      <w:tr>
        <w:trPr/>
        <w:tc>
          <w:tcPr>
            <w:tcW w:w="9972" w:type="dxa"/>
            <w:tcBorders>
              <w:top w:val="single" w:sz="2" w:space="0" w:color="F5C2C3"/>
              <w:left w:val="single" w:sz="6" w:space="0" w:color="E1000F"/>
              <w:bottom w:val="single" w:sz="6" w:space="0" w:color="E1000F"/>
              <w:right w:val="single" w:sz="6" w:space="0" w:color="E1000F"/>
            </w:tcBorders>
            <w:shd w:fill="FFFFFF" w:val="clear"/>
          </w:tcPr>
          <w:p>
            <w:pPr>
              <w:pStyle w:val="Normal"/>
              <w:spacing w:before="40" w:after="40"/>
              <w:ind w:left="170"/>
              <w:rPr/>
            </w:pPr>
            <w:r>
              <w:rPr>
                <w:b/>
                <w:color w:val="E1000F"/>
                <w:sz w:val="21"/>
              </w:rPr>
              <w:t xml:space="preserve">➜  </w:t>
            </w:r>
            <w:r>
              <w:rPr>
                <w:color w:val="3A3A3A"/>
                <w:sz w:val="21"/>
              </w:rPr>
              <w:t>Les résultats sont dans le dossier de sortie et peuvent être chargés manuellement via Couche → Ajouter une couche.</w:t>
            </w:r>
          </w:p>
          <w:p>
            <w:pPr>
              <w:pStyle w:val="Normal"/>
              <w:spacing w:before="40" w:after="40"/>
              <w:ind w:left="170"/>
              <w:rPr/>
            </w:pPr>
            <w:r>
              <w:rPr>
                <w:b/>
                <w:color w:val="E1000F"/>
                <w:sz w:val="21"/>
              </w:rPr>
              <w:t xml:space="preserve">➜  </w:t>
            </w:r>
            <w:r>
              <w:rPr>
                <w:color w:val="3A3A3A"/>
                <w:sz w:val="21"/>
              </w:rPr>
              <w:t>Ouvrir le fichier detections_validation.qgs directement depuis QGIS.</w:t>
            </w:r>
          </w:p>
        </w:tc>
      </w:tr>
    </w:tbl>
    <w:p>
      <w:pPr>
        <w:pStyle w:val="Normal"/>
        <w:rPr/>
      </w:pPr>
      <w:r>
        <w:rPr/>
      </w:r>
    </w:p>
    <w:p>
      <w:pPr>
        <w:pStyle w:val="Normal"/>
        <w:rPr/>
      </w:pPr>
      <w:r>
        <w:rPr/>
      </w:r>
      <w:r>
        <w:br w:type="page"/>
      </w:r>
    </w:p>
    <w:p>
      <w:pPr>
        <w:pStyle w:val="Heading1"/>
        <w:pBdr>
          <w:left w:val="single" w:sz="36" w:space="10" w:color="000091"/>
        </w:pBdr>
        <w:spacing w:before="0" w:after="120"/>
        <w:ind w:left="170"/>
        <w:rPr/>
      </w:pPr>
      <w:bookmarkStart w:id="52" w:name="__RefHeading___Toc3979_1193836322"/>
      <w:bookmarkEnd w:id="52"/>
      <w:r>
        <w:rPr>
          <w:rFonts w:ascii="Segoe UI" w:hAnsi="Segoe UI"/>
          <w:b/>
          <w:color w:val="000091"/>
          <w:sz w:val="44"/>
        </w:rPr>
        <w:t>Annexes techniques</w:t>
      </w:r>
    </w:p>
    <w:p>
      <w:pPr>
        <w:pStyle w:val="Normal"/>
        <w:pBdr>
          <w:bottom w:val="single" w:sz="12" w:space="1" w:color="6A6AF4"/>
        </w:pBdr>
        <w:spacing w:before="0" w:after="120"/>
        <w:rPr/>
      </w:pPr>
      <w:r>
        <w:rPr/>
      </w:r>
    </w:p>
    <w:p>
      <w:pPr>
        <w:pStyle w:val="Heading1"/>
        <w:pBdr>
          <w:left w:val="single" w:sz="36" w:space="10" w:color="000091"/>
        </w:pBdr>
        <w:ind w:left="170"/>
        <w:rPr/>
      </w:pPr>
      <w:bookmarkStart w:id="53" w:name="__RefHeading___Toc3981_1193836322"/>
      <w:bookmarkStart w:id="54" w:name="_toc1168"/>
      <w:bookmarkEnd w:id="53"/>
      <w:bookmarkEnd w:id="54"/>
      <w:r>
        <w:rPr>
          <w:rFonts w:ascii="Segoe UI" w:hAnsi="Segoe UI"/>
          <w:b/>
          <w:color w:val="000091"/>
          <w:sz w:val="44"/>
        </w:rPr>
        <w:t>Annexe A — Paramètres des indices de visualisation (RVT)</w:t>
      </w:r>
    </w:p>
    <w:p>
      <w:pPr>
        <w:pStyle w:val="Normal"/>
        <w:pBdr>
          <w:bottom w:val="single" w:sz="12" w:space="1" w:color="6A6AF4"/>
        </w:pBdr>
        <w:spacing w:before="0" w:after="120"/>
        <w:rPr/>
      </w:pPr>
      <w:r>
        <w:rPr/>
      </w:r>
    </w:p>
    <w:p>
      <w:pPr>
        <w:pStyle w:val="Normal"/>
        <w:spacing w:lineRule="exact" w:line="320" w:before="0" w:after="160"/>
        <w:rPr/>
      </w:pPr>
      <w:r>
        <w:rPr>
          <w:color w:val="3A3A3A"/>
          <w:sz w:val="22"/>
        </w:rPr>
        <w:t>Ces paramètres sont accessibles en mode Expert, dans la section Paramètres des indices de visualisation.</w:t>
      </w:r>
    </w:p>
    <w:p>
      <w:pPr>
        <w:pStyle w:val="Heading2"/>
        <w:rPr/>
      </w:pPr>
      <w:bookmarkStart w:id="55" w:name="__RefHeading___Toc3983_1193836322"/>
      <w:bookmarkEnd w:id="55"/>
      <w:r>
        <w:rPr>
          <w:rFonts w:ascii="Segoe UI" w:hAnsi="Segoe UI"/>
          <w:b/>
          <w:color w:val="1F2E5E"/>
          <w:sz w:val="32"/>
        </w:rPr>
        <w:t>A.1 Hillshade multi-directionnel (M-HS)</w:t>
      </w:r>
    </w:p>
    <w:p>
      <w:pPr>
        <w:pStyle w:val="Normal"/>
        <w:spacing w:lineRule="exact" w:line="320" w:before="0" w:after="160"/>
        <w:rPr/>
      </w:pPr>
      <w:r>
        <w:rPr>
          <w:color w:val="3A3A3A"/>
          <w:sz w:val="22"/>
        </w:rPr>
        <w:t>Le Hillshade simule l'éclairage du terrain par le soleil, révélant les micro-reliefs.</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Paramètre</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Description</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Valeur par défaut</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num_directions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Nombre de directions d'éclairage</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16</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sun_elevation</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Angle d'élévation solaire en degrés (0–90)</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35</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ve_factor</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Facteur d'exagération verticale</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1</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save_as_8bit</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Sauvegarder en 8 bits (plus léger)</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Oui</w:t>
            </w:r>
          </w:p>
        </w:tc>
      </w:tr>
    </w:tbl>
    <w:p>
      <w:pPr>
        <w:pStyle w:val="Normal"/>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E3E3FD"/>
              <w:left w:val="single" w:sz="18" w:space="0" w:color="000091"/>
              <w:bottom w:val="single" w:sz="4" w:space="0" w:color="E3E3FD"/>
              <w:right w:val="single" w:sz="4" w:space="0" w:color="E3E3FD"/>
            </w:tcBorders>
            <w:shd w:fill="E3E3FD" w:val="clear"/>
          </w:tcPr>
          <w:p>
            <w:pPr>
              <w:pStyle w:val="Normal"/>
              <w:widowControl/>
              <w:bidi w:val="0"/>
              <w:spacing w:lineRule="auto" w:line="324" w:before="0" w:after="200"/>
              <w:jc w:val="left"/>
              <w:rPr/>
            </w:pPr>
            <w:r>
              <w:rPr>
                <w:b/>
                <w:color w:val="6A6AF4"/>
                <w:sz w:val="21"/>
              </w:rPr>
              <w:t xml:space="preserve">💡 </w:t>
            </w:r>
            <w:r>
              <w:rPr>
                <w:b/>
                <w:color w:val="6A6AF4"/>
                <w:sz w:val="21"/>
              </w:rPr>
              <w:t xml:space="preserve">Conseil — </w:t>
            </w:r>
            <w:r>
              <w:rPr>
                <w:color w:val="000091"/>
                <w:sz w:val="21"/>
              </w:rPr>
              <w:t>Un sun_elevation bas (15–35°) accentue les ombres et révèle mieux les micro-reliefs.</w:t>
            </w:r>
          </w:p>
        </w:tc>
      </w:tr>
    </w:tbl>
    <w:p>
      <w:pPr>
        <w:pStyle w:val="Normal"/>
        <w:rPr/>
      </w:pPr>
      <w:r>
        <w:rPr/>
      </w:r>
    </w:p>
    <w:p>
      <w:pPr>
        <w:pStyle w:val="Heading2"/>
        <w:rPr/>
      </w:pPr>
      <w:bookmarkStart w:id="56" w:name="__RefHeading___Toc3985_1193836322"/>
      <w:bookmarkEnd w:id="56"/>
      <w:r>
        <w:rPr>
          <w:rFonts w:ascii="Segoe UI" w:hAnsi="Segoe UI"/>
          <w:b/>
          <w:color w:val="1F2E5E"/>
          <w:sz w:val="32"/>
        </w:rPr>
        <w:t>A.2 Sky View Factor (SVF)</w:t>
      </w:r>
    </w:p>
    <w:p>
      <w:pPr>
        <w:pStyle w:val="Normal"/>
        <w:spacing w:lineRule="exact" w:line="320" w:before="0" w:after="160"/>
        <w:rPr/>
      </w:pPr>
      <w:r>
        <w:rPr>
          <w:color w:val="3A3A3A"/>
          <w:sz w:val="22"/>
        </w:rPr>
        <w:t>Le SVF mesure la proportion de ciel visible depuis chaque point du terrain. Les creux apparaissent sombres, les bosses apparaissent clairs.</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Paramètre</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Description</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Valeur par défaut</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num_directions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Nombre de directions de calcul</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16</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radius</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Rayon de recherche en pixels</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10</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noise_remove</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Suppression du bruit (0 = désactivé)</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0</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ve_factor</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Facteur d'exagération verticale</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1</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save_as_8bit</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Sauvegarder en 8 bits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Oui</w:t>
            </w:r>
          </w:p>
        </w:tc>
      </w:tr>
    </w:tbl>
    <w:p>
      <w:pPr>
        <w:pStyle w:val="Normal"/>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E3E3FD"/>
              <w:left w:val="single" w:sz="18" w:space="0" w:color="000091"/>
              <w:bottom w:val="single" w:sz="4" w:space="0" w:color="E3E3FD"/>
              <w:right w:val="single" w:sz="4" w:space="0" w:color="E3E3FD"/>
            </w:tcBorders>
            <w:shd w:fill="E3E3FD" w:val="clear"/>
          </w:tcPr>
          <w:p>
            <w:pPr>
              <w:pStyle w:val="Normal"/>
              <w:widowControl/>
              <w:bidi w:val="0"/>
              <w:spacing w:lineRule="auto" w:line="324" w:before="0" w:after="200"/>
              <w:jc w:val="left"/>
              <w:rPr/>
            </w:pPr>
            <w:r>
              <w:rPr>
                <w:b/>
                <w:color w:val="6A6AF4"/>
                <w:sz w:val="21"/>
              </w:rPr>
              <w:t xml:space="preserve">💡 </w:t>
            </w:r>
            <w:r>
              <w:rPr>
                <w:b/>
                <w:color w:val="6A6AF4"/>
                <w:sz w:val="21"/>
              </w:rPr>
              <w:t xml:space="preserve">Conseil — </w:t>
            </w:r>
            <w:r>
              <w:rPr>
                <w:color w:val="000091"/>
                <w:sz w:val="21"/>
              </w:rPr>
              <w:t>Augmenter le radius améliore la détection de grandes structures mais ralentit le calcul.</w:t>
            </w:r>
          </w:p>
        </w:tc>
      </w:tr>
    </w:tbl>
    <w:p>
      <w:pPr>
        <w:pStyle w:val="Normal"/>
        <w:rPr/>
      </w:pPr>
      <w:r>
        <w:rPr/>
      </w:r>
    </w:p>
    <w:p>
      <w:pPr>
        <w:pStyle w:val="Heading2"/>
        <w:rPr/>
      </w:pPr>
      <w:bookmarkStart w:id="57" w:name="__RefHeading___Toc3987_1193836322"/>
      <w:bookmarkEnd w:id="57"/>
      <w:r>
        <w:rPr>
          <w:rFonts w:ascii="Segoe UI" w:hAnsi="Segoe UI"/>
          <w:b/>
          <w:color w:val="1F2E5E"/>
          <w:sz w:val="32"/>
        </w:rPr>
        <w:t>A.3 Local Dominance (LD)</w:t>
      </w:r>
    </w:p>
    <w:p>
      <w:pPr>
        <w:pStyle w:val="Normal"/>
        <w:spacing w:lineRule="exact" w:line="320" w:before="0" w:after="160"/>
        <w:rPr/>
      </w:pPr>
      <w:r>
        <w:rPr>
          <w:color w:val="3A3A3A"/>
          <w:sz w:val="22"/>
        </w:rPr>
        <w:t>Le LD mesure à quel point un point domine localement son environnement. Particulièrement efficace pour la détection de structures linéaires et de reliefs en creux.</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Paramètre</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Description</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Valeur par défaut</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min_radius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Rayon minimum en pixels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10</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max_radius</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Rayon maximum en pixels</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20</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angular_res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Résolution angulaire en degrés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15</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observer_h</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Hauteur de l'observateur en mètres</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1.7</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ve_factor</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Facteur d'exagération verticale</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1</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save_as_8bit</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Sauvegarder en 8 bits</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Oui</w:t>
            </w:r>
          </w:p>
        </w:tc>
      </w:tr>
    </w:tbl>
    <w:p>
      <w:pPr>
        <w:pStyle w:val="Normal"/>
        <w:rPr/>
      </w:pPr>
      <w:r>
        <w:rPr/>
      </w:r>
    </w:p>
    <w:p>
      <w:pPr>
        <w:pStyle w:val="Heading2"/>
        <w:rPr/>
      </w:pPr>
      <w:bookmarkStart w:id="58" w:name="__RefHeading___Toc3989_1193836322"/>
      <w:bookmarkEnd w:id="58"/>
      <w:r>
        <w:rPr>
          <w:rFonts w:ascii="Segoe UI" w:hAnsi="Segoe UI"/>
          <w:b/>
          <w:color w:val="1F2E5E"/>
          <w:sz w:val="32"/>
        </w:rPr>
        <w:t>A.4 Pente (SLO / Slope)</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Paramètre</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Description</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Valeur par défaut</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unit</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Unité de la pente : 0 = degrés, 1 = pourcentage</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0</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ve_factor</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Facteur d'exagération verticale</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1</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save_as_8bit</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Sauvegarder en 8 bits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Oui</w:t>
            </w:r>
          </w:p>
        </w:tc>
      </w:tr>
    </w:tbl>
    <w:p>
      <w:pPr>
        <w:pStyle w:val="Normal"/>
        <w:rPr/>
      </w:pPr>
      <w:r>
        <w:rPr/>
      </w:r>
    </w:p>
    <w:p>
      <w:pPr>
        <w:pStyle w:val="Heading2"/>
        <w:rPr/>
      </w:pPr>
      <w:bookmarkStart w:id="59" w:name="__RefHeading___Toc3991_1193836322"/>
      <w:bookmarkEnd w:id="59"/>
      <w:r>
        <w:rPr>
          <w:rFonts w:ascii="Segoe UI" w:hAnsi="Segoe UI"/>
          <w:b/>
          <w:color w:val="1F2E5E"/>
          <w:sz w:val="32"/>
        </w:rPr>
        <w:t>A.5 Simple Local Relief Model (SLRM)</w:t>
      </w:r>
    </w:p>
    <w:p>
      <w:pPr>
        <w:pStyle w:val="Normal"/>
        <w:spacing w:lineRule="exact" w:line="320" w:before="0" w:after="160"/>
        <w:rPr/>
      </w:pPr>
      <w:r>
        <w:rPr>
          <w:color w:val="3A3A3A"/>
          <w:sz w:val="22"/>
        </w:rPr>
        <w:t>Le SLRM soustrait une surface lissée au MNT pour isoler les micro-reliefs.</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Paramètre</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Description</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Valeur par défaut</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radius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Rayon de lissage en pixels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20</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ve_factor</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Facteur d'exagération verticale</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1</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save_as_8bit</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Sauvegarder en 8 bits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Oui</w:t>
            </w:r>
          </w:p>
        </w:tc>
      </w:tr>
    </w:tbl>
    <w:p>
      <w:pPr>
        <w:pStyle w:val="Normal"/>
        <w:rPr/>
      </w:pPr>
      <w:r>
        <w:rPr/>
      </w:r>
    </w:p>
    <w:p>
      <w:pPr>
        <w:pStyle w:val="Heading2"/>
        <w:rPr/>
      </w:pPr>
      <w:bookmarkStart w:id="60" w:name="__RefHeading___Toc3993_1193836322"/>
      <w:bookmarkEnd w:id="60"/>
      <w:r>
        <w:rPr>
          <w:rFonts w:ascii="Segoe UI" w:hAnsi="Segoe UI"/>
          <w:b/>
          <w:color w:val="1F2E5E"/>
          <w:sz w:val="32"/>
        </w:rPr>
        <w:t>A.6 Visualisation Archéologique Totale (VAT)</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Paramètre</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Description</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Valeur par défaut</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terrain_type</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Type de terrain : 0 = général, 1 = plat</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0</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save_as_8bit</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Sauvegarder en 8 bits</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Oui</w:t>
            </w:r>
          </w:p>
        </w:tc>
      </w:tr>
    </w:tbl>
    <w:p>
      <w:pPr>
        <w:pStyle w:val="Normal"/>
        <w:rPr/>
      </w:pPr>
      <w:r>
        <w:rPr/>
      </w:r>
    </w:p>
    <w:p>
      <w:pPr>
        <w:pStyle w:val="Heading2"/>
        <w:rPr/>
      </w:pPr>
      <w:bookmarkStart w:id="61" w:name="__RefHeading___Toc3995_1193836322"/>
      <w:bookmarkEnd w:id="61"/>
      <w:r>
        <w:rPr>
          <w:rFonts w:ascii="Segoe UI" w:hAnsi="Segoe UI"/>
          <w:b/>
          <w:color w:val="1F2E5E"/>
          <w:sz w:val="32"/>
        </w:rPr>
        <w:t>A.7 Résolution et filtres MNT</w:t>
      </w:r>
    </w:p>
    <w:p>
      <w:pPr>
        <w:pStyle w:val="Normal"/>
        <w:spacing w:lineRule="exact" w:line="320" w:before="0" w:after="160"/>
        <w:rPr/>
      </w:pPr>
      <w:r>
        <w:rPr>
          <w:color w:val="3A3A3A"/>
          <w:sz w:val="22"/>
        </w:rPr>
        <w:t>Ces paramètres se trouvent dans la section Paramètres MNT (mode Expert).</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Paramètre</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Description</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Valeur par défaut</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Résolution MNT</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Taille d'un pixel en mètres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0.5 m</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Résolution densité</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Résolution de la carte de densité</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1.0 m</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Chevauchement dalle</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Marge de chevauchement entre dalles en mètres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20 m</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Filtre PDAL</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Expression de filtrage des classes de points LiDAR</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Classification = 2 OR 6 OR 66 OR 67 OR 9</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Workers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Nombre de processeurs parallèles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2</w:t>
            </w:r>
          </w:p>
        </w:tc>
      </w:tr>
    </w:tbl>
    <w:p>
      <w:pPr>
        <w:pStyle w:val="Normal"/>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FDF4E5"/>
              <w:left w:val="single" w:sz="18" w:space="0" w:color="B34000"/>
              <w:bottom w:val="single" w:sz="4" w:space="0" w:color="FDF4E5"/>
              <w:right w:val="single" w:sz="4" w:space="0" w:color="FDF4E5"/>
            </w:tcBorders>
            <w:shd w:fill="FDF4E5" w:val="clear"/>
          </w:tcPr>
          <w:p>
            <w:pPr>
              <w:pStyle w:val="Normal"/>
              <w:widowControl/>
              <w:bidi w:val="0"/>
              <w:spacing w:lineRule="auto" w:line="324" w:before="0" w:after="200"/>
              <w:jc w:val="left"/>
              <w:rPr/>
            </w:pPr>
            <w:r>
              <w:rPr>
                <w:b/>
                <w:color w:val="B34000"/>
                <w:sz w:val="21"/>
              </w:rPr>
              <w:t xml:space="preserve">⚠️ </w:t>
            </w:r>
            <w:r>
              <w:rPr>
                <w:b/>
                <w:color w:val="B34000"/>
                <w:sz w:val="21"/>
              </w:rPr>
              <w:t xml:space="preserve">Attention — </w:t>
            </w:r>
            <w:r>
              <w:rPr>
                <w:color w:val="71500D"/>
                <w:sz w:val="21"/>
              </w:rPr>
              <w:t>Le filtre PDAL par défaut conserve le sol (2), les bâtiments (6), et les classes spécifiques IGN LiDAR HD (66, 67, 9). Ne modifier que si vous connaissez la classification ASPRS de vos données.</w:t>
            </w:r>
          </w:p>
        </w:tc>
      </w:tr>
    </w:tbl>
    <w:p>
      <w:pPr>
        <w:pStyle w:val="Normal"/>
        <w:rPr/>
      </w:pPr>
      <w:r>
        <w:rPr/>
      </w:r>
    </w:p>
    <w:p>
      <w:pPr>
        <w:pStyle w:val="Normal"/>
        <w:rPr/>
      </w:pPr>
      <w:r>
        <w:rPr/>
      </w:r>
      <w:r>
        <w:br w:type="page"/>
      </w:r>
    </w:p>
    <w:p>
      <w:pPr>
        <w:pStyle w:val="Heading1"/>
        <w:pBdr>
          <w:left w:val="single" w:sz="36" w:space="10" w:color="000091"/>
        </w:pBdr>
        <w:spacing w:before="0" w:after="120"/>
        <w:ind w:left="170"/>
        <w:rPr/>
      </w:pPr>
      <w:bookmarkStart w:id="62" w:name="__RefHeading___Toc3997_1193836322"/>
      <w:bookmarkEnd w:id="62"/>
      <w:r>
        <w:rPr>
          <w:rFonts w:ascii="Segoe UI" w:hAnsi="Segoe UI"/>
          <w:b/>
          <w:color w:val="000091"/>
          <w:sz w:val="44"/>
        </w:rPr>
        <w:t>Annexe B — Paramètres avancés Computer Vision</w:t>
      </w:r>
    </w:p>
    <w:p>
      <w:pPr>
        <w:pStyle w:val="Normal"/>
        <w:pBdr>
          <w:bottom w:val="single" w:sz="12" w:space="1" w:color="6A6AF4"/>
        </w:pBdr>
        <w:spacing w:before="0" w:after="120"/>
        <w:rPr/>
      </w:pPr>
      <w:r>
        <w:rPr/>
      </w:r>
    </w:p>
    <w:p>
      <w:pPr>
        <w:pStyle w:val="Heading2"/>
        <w:rPr/>
      </w:pPr>
      <w:bookmarkStart w:id="63" w:name="__RefHeading___Toc3999_1193836322"/>
      <w:bookmarkEnd w:id="63"/>
      <w:r>
        <w:rPr>
          <w:rFonts w:ascii="Segoe UI" w:hAnsi="Segoe UI"/>
          <w:b/>
          <w:color w:val="1F2E5E"/>
          <w:sz w:val="32"/>
        </w:rPr>
        <w:t>B.1 SAHI (Slicing Aided Hyper Inference)</w:t>
      </w:r>
    </w:p>
    <w:p>
      <w:pPr>
        <w:pStyle w:val="Normal"/>
        <w:spacing w:lineRule="exact" w:line="320" w:before="0" w:after="160"/>
        <w:rPr/>
      </w:pPr>
      <w:r>
        <w:rPr>
          <w:color w:val="3A3A3A"/>
          <w:sz w:val="22"/>
        </w:rPr>
        <w:t>SAHI est une technique qui découpe l'image en tuiles se chevauchant pour améliorer la détection des petits objets.</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Paramètre</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Description</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Valeur par défaut</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slice_height</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Hauteur de chaque tuile en pixels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Dépends des données d’entraînement</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slice_width</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Largeur de chaque tuile en pixels</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Dépends des données d’entraînement</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overlap_ratio</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Taux de chevauchement entre tuiles (0–1)</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0.2</w:t>
            </w:r>
          </w:p>
        </w:tc>
      </w:tr>
    </w:tbl>
    <w:p>
      <w:pPr>
        <w:pStyle w:val="Normal"/>
        <w:rPr/>
      </w:pPr>
      <w:r>
        <w:rPr/>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FDF4E5"/>
              <w:left w:val="single" w:sz="18" w:space="0" w:color="B34000"/>
              <w:bottom w:val="single" w:sz="4" w:space="0" w:color="FDF4E5"/>
              <w:right w:val="single" w:sz="4" w:space="0" w:color="FDF4E5"/>
            </w:tcBorders>
            <w:shd w:fill="FDF4E5" w:val="clear"/>
          </w:tcPr>
          <w:p>
            <w:pPr>
              <w:pStyle w:val="Normal"/>
              <w:widowControl/>
              <w:bidi w:val="0"/>
              <w:spacing w:lineRule="auto" w:line="324" w:before="0" w:after="200"/>
              <w:jc w:val="left"/>
              <w:rPr/>
            </w:pPr>
            <w:r>
              <w:rPr>
                <w:b/>
                <w:color w:val="B34000"/>
                <w:sz w:val="21"/>
              </w:rPr>
              <w:t xml:space="preserve">⚠️ </w:t>
            </w:r>
            <w:r>
              <w:rPr>
                <w:b/>
                <w:color w:val="B34000"/>
                <w:sz w:val="21"/>
              </w:rPr>
              <w:t xml:space="preserve">Attention — </w:t>
            </w:r>
            <w:r>
              <w:rPr>
                <w:color w:val="71500D"/>
                <w:sz w:val="21"/>
              </w:rPr>
              <w:t>Ces valeurs sont définies dans le fichier args.yaml de chaque modèle et correspondent aux paramètres d'entraînement. Ne les modifier que si vous savez ce que vous faites.</w:t>
            </w:r>
          </w:p>
        </w:tc>
      </w:tr>
    </w:tbl>
    <w:p>
      <w:pPr>
        <w:pStyle w:val="Normal"/>
        <w:rPr/>
      </w:pPr>
      <w:r>
        <w:rPr/>
      </w:r>
    </w:p>
    <w:p>
      <w:pPr>
        <w:pStyle w:val="Heading2"/>
        <w:rPr/>
      </w:pPr>
      <w:bookmarkStart w:id="64" w:name="__RefHeading___Toc4001_1193836322"/>
      <w:bookmarkEnd w:id="64"/>
      <w:r>
        <w:rPr>
          <w:rFonts w:ascii="Segoe UI" w:hAnsi="Segoe UI"/>
          <w:b/>
          <w:color w:val="1F2E5E"/>
          <w:sz w:val="32"/>
        </w:rPr>
        <w:t>B.2 Autres paramètres CV (mode Expert)</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Paramètre</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Description</w:t>
            </w:r>
          </w:p>
        </w:tc>
        <w:tc>
          <w:tcPr>
            <w:tcW w:w="3324"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Valeur par défaut</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force_reprocess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Ré-inférer même si les labels existent déjà</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Non</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scan_all</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Traiter toutes les images (sinon seulement la première)</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Oui</w:t>
            </w:r>
          </w:p>
        </w:tc>
      </w:tr>
      <w:tr>
        <w:trPr/>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generate_annotated_images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Générer des PNG avec détections superposées</w:t>
            </w:r>
          </w:p>
        </w:tc>
        <w:tc>
          <w:tcPr>
            <w:tcW w:w="3324"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Non</w:t>
            </w:r>
          </w:p>
        </w:tc>
      </w:tr>
      <w:tr>
        <w:trPr/>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min_area_m2</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Surface minimale des détections conservées (m²)</w:t>
            </w:r>
          </w:p>
        </w:tc>
        <w:tc>
          <w:tcPr>
            <w:tcW w:w="3324"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0</w:t>
            </w:r>
          </w:p>
        </w:tc>
      </w:tr>
    </w:tbl>
    <w:p>
      <w:pPr>
        <w:pStyle w:val="Normal"/>
        <w:rPr/>
      </w:pPr>
      <w:r>
        <w:rPr/>
      </w:r>
    </w:p>
    <w:p>
      <w:pPr>
        <w:pStyle w:val="Heading2"/>
        <w:rPr/>
      </w:pPr>
      <w:bookmarkStart w:id="65" w:name="__RefHeading___Toc4003_1193836322"/>
      <w:bookmarkEnd w:id="65"/>
      <w:r>
        <w:rPr>
          <w:rFonts w:ascii="Segoe UI" w:hAnsi="Segoe UI"/>
          <w:b/>
          <w:color w:val="1F2E5E"/>
          <w:sz w:val="32"/>
        </w:rPr>
        <w:t>B.3 Post-traitement des détections</w:t>
      </w:r>
    </w:p>
    <w:p>
      <w:pPr>
        <w:pStyle w:val="Normal"/>
        <w:spacing w:lineRule="exact" w:line="320" w:before="0" w:after="160"/>
        <w:rPr/>
      </w:pPr>
      <w:r>
        <w:rPr>
          <w:color w:val="3A3A3A"/>
          <w:sz w:val="22"/>
        </w:rPr>
        <w:t>Après l'inférence, les détections subissent automatiquement :</w:t>
      </w:r>
    </w:p>
    <w:p>
      <w:pPr>
        <w:pStyle w:val="Normal"/>
        <w:spacing w:before="0" w:after="80"/>
        <w:ind w:hanging="283" w:left="850"/>
        <w:rPr/>
      </w:pPr>
      <w:r>
        <w:rPr>
          <w:color w:val="3A3A3A"/>
          <w:sz w:val="22"/>
        </w:rPr>
        <w:t xml:space="preserve">•  </w:t>
      </w:r>
      <w:r>
        <w:rPr>
          <w:color w:val="3A3A3A"/>
          <w:sz w:val="22"/>
        </w:rPr>
        <w:t>Validation géométrique — correction des géométries invalides</w:t>
      </w:r>
    </w:p>
    <w:p>
      <w:pPr>
        <w:pStyle w:val="Normal"/>
        <w:spacing w:before="0" w:after="80"/>
        <w:ind w:hanging="283" w:left="850"/>
        <w:rPr/>
      </w:pPr>
      <w:r>
        <w:rPr>
          <w:color w:val="3A3A3A"/>
          <w:sz w:val="22"/>
        </w:rPr>
        <w:t xml:space="preserve">•  </w:t>
      </w:r>
      <w:r>
        <w:rPr>
          <w:color w:val="3A3A3A"/>
          <w:sz w:val="22"/>
        </w:rPr>
        <w:t>Fusion intra-classe — les détections de la même classe qui se chevauchent sont fusionnées</w:t>
      </w:r>
    </w:p>
    <w:p>
      <w:pPr>
        <w:pStyle w:val="Normal"/>
        <w:spacing w:before="0" w:after="80"/>
        <w:ind w:hanging="283" w:left="850"/>
        <w:rPr/>
      </w:pPr>
      <w:r>
        <w:rPr>
          <w:color w:val="3A3A3A"/>
          <w:sz w:val="22"/>
        </w:rPr>
        <w:t xml:space="preserve">•  </w:t>
      </w:r>
      <w:r>
        <w:rPr>
          <w:color w:val="3A3A3A"/>
          <w:sz w:val="22"/>
        </w:rPr>
        <w:t>Suppression des recouvrements inter-classes — en cas de recouvrement, la détection avec la confiance la plus faible est supprimée</w:t>
      </w:r>
    </w:p>
    <w:p>
      <w:pPr>
        <w:pStyle w:val="Normal"/>
        <w:spacing w:before="0" w:after="80"/>
        <w:ind w:hanging="283" w:left="850"/>
        <w:rPr/>
      </w:pPr>
      <w:r>
        <w:rPr>
          <w:color w:val="3A3A3A"/>
          <w:sz w:val="22"/>
        </w:rPr>
        <w:t xml:space="preserve">•  </w:t>
      </w:r>
      <w:r>
        <w:rPr>
          <w:color w:val="3A3A3A"/>
          <w:sz w:val="22"/>
        </w:rPr>
        <w:t>Filtre de surface minimale — les détections plus petites que min_area_m2 sont supprimées</w:t>
      </w:r>
    </w:p>
    <w:p>
      <w:pPr>
        <w:pStyle w:val="Normal"/>
        <w:rPr/>
      </w:pPr>
      <w:r>
        <w:rPr/>
      </w:r>
      <w:r>
        <w:br w:type="page"/>
      </w:r>
    </w:p>
    <w:p>
      <w:pPr>
        <w:pStyle w:val="Heading1"/>
        <w:pBdr>
          <w:left w:val="single" w:sz="36" w:space="10" w:color="000091"/>
        </w:pBdr>
        <w:spacing w:before="0" w:after="120"/>
        <w:ind w:left="170"/>
        <w:rPr/>
      </w:pPr>
      <w:bookmarkStart w:id="66" w:name="__RefHeading___Toc4005_1193836322"/>
      <w:bookmarkEnd w:id="66"/>
      <w:r>
        <w:rPr>
          <w:rFonts w:ascii="Segoe UI" w:hAnsi="Segoe UI"/>
          <w:b/>
          <w:color w:val="000091"/>
          <w:sz w:val="44"/>
        </w:rPr>
        <w:t>Annexe C — Clustering spatial (DBSCAN)</w:t>
      </w:r>
    </w:p>
    <w:p>
      <w:pPr>
        <w:pStyle w:val="Normal"/>
        <w:pBdr>
          <w:bottom w:val="single" w:sz="12" w:space="1" w:color="6A6AF4"/>
        </w:pBdr>
        <w:spacing w:before="0" w:after="120"/>
        <w:rPr/>
      </w:pPr>
      <w:r>
        <w:rPr/>
      </w:r>
    </w:p>
    <w:p>
      <w:pPr>
        <w:pStyle w:val="Normal"/>
        <w:spacing w:lineRule="exact" w:line="320" w:before="0" w:after="160"/>
        <w:rPr/>
      </w:pPr>
      <w:r>
        <w:rPr>
          <w:color w:val="3A3A3A"/>
          <w:sz w:val="22"/>
        </w:rPr>
        <w:t>Le clustering permet de regrouper des détections individuelles en zones cohérentes. Par exemple, regrouper des cratères d'obus individuels en une zone de bombardement.</w:t>
      </w:r>
    </w:p>
    <w:p>
      <w:pPr>
        <w:pStyle w:val="Normal"/>
        <w:spacing w:lineRule="exact" w:line="320" w:before="0" w:after="160"/>
        <w:rPr/>
      </w:pPr>
      <w:r>
        <w:rPr>
          <w:color w:val="3A3A3A"/>
          <w:sz w:val="22"/>
        </w:rPr>
        <w:t>Cette fonctionnalité est configurée par modèle dans le fichier args.yaml de chaque modèle.</w:t>
      </w:r>
    </w:p>
    <w:p>
      <w:pPr>
        <w:pStyle w:val="Heading2"/>
        <w:rPr/>
      </w:pPr>
      <w:bookmarkStart w:id="67" w:name="__RefHeading___Toc4007_1193836322"/>
      <w:bookmarkEnd w:id="67"/>
      <w:r>
        <w:rPr>
          <w:rFonts w:ascii="Segoe UI" w:hAnsi="Segoe UI"/>
          <w:b/>
          <w:color w:val="1F2E5E"/>
          <w:sz w:val="32"/>
        </w:rPr>
        <w:t>C.1 Principe</w:t>
      </w:r>
    </w:p>
    <w:p>
      <w:pPr>
        <w:pStyle w:val="Normal"/>
        <w:spacing w:lineRule="exact" w:line="320" w:before="0" w:after="160"/>
        <w:rPr/>
      </w:pPr>
      <w:r>
        <w:rPr>
          <w:color w:val="3A3A3A"/>
          <w:sz w:val="22"/>
        </w:rPr>
        <w:t>L'algorithme DBSCAN (Density-Based Spatial Clustering) identifie des groupes de détections en fonction de leur proximité spatiale et de leur densité. Les détections isolées (hors de tout groupe) sont ignorées pour le clustering mais conservées individuellement.</w:t>
      </w:r>
    </w:p>
    <w:p>
      <w:pPr>
        <w:pStyle w:val="Heading2"/>
        <w:rPr/>
      </w:pPr>
      <w:bookmarkStart w:id="68" w:name="__RefHeading___Toc4009_1193836322"/>
      <w:bookmarkEnd w:id="68"/>
      <w:r>
        <w:rPr>
          <w:rFonts w:ascii="Segoe UI" w:hAnsi="Segoe UI"/>
          <w:b/>
          <w:color w:val="1F2E5E"/>
          <w:sz w:val="32"/>
        </w:rPr>
        <w:t>C.2 Paramètres de configuration (args.yaml)</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1F2E5E"/>
              <w:left w:val="single" w:sz="4" w:space="0" w:color="1F2E5E"/>
              <w:bottom w:val="single" w:sz="4" w:space="0" w:color="1F2E5E"/>
              <w:right w:val="single" w:sz="4" w:space="0" w:color="1F2E5E"/>
            </w:tcBorders>
            <w:shd w:fill="1F2E5E" w:val="clear"/>
          </w:tcPr>
          <w:p>
            <w:pPr>
              <w:pStyle w:val="Normal"/>
              <w:spacing w:before="20" w:after="20"/>
              <w:rPr/>
            </w:pPr>
            <w:r>
              <w:rPr>
                <w:rFonts w:ascii="Consolas" w:hAnsi="Consolas"/>
                <w:color w:val="ECF0F1"/>
                <w:sz w:val="19"/>
              </w:rPr>
              <w:t>clustering:</w:t>
            </w:r>
          </w:p>
          <w:p>
            <w:pPr>
              <w:pStyle w:val="Normal"/>
              <w:spacing w:before="20" w:after="20"/>
              <w:rPr/>
            </w:pPr>
            <w:r>
              <w:rPr>
                <w:rFonts w:ascii="Consolas" w:hAnsi="Consolas"/>
                <w:color w:val="ECF0F1"/>
                <w:sz w:val="19"/>
              </w:rPr>
              <w:t xml:space="preserve">  </w:t>
            </w:r>
            <w:r>
              <w:rPr>
                <w:rFonts w:ascii="Consolas" w:hAnsi="Consolas"/>
                <w:color w:val="ECF0F1"/>
                <w:sz w:val="19"/>
              </w:rPr>
              <w:t>- target_classes: ["cratere_obus"]   # Classes sources à regrouper</w:t>
            </w:r>
          </w:p>
          <w:p>
            <w:pPr>
              <w:pStyle w:val="Normal"/>
              <w:spacing w:before="20" w:after="20"/>
              <w:rPr/>
            </w:pPr>
            <w:r>
              <w:rPr>
                <w:rFonts w:ascii="Consolas" w:hAnsi="Consolas"/>
                <w:color w:val="ECF0F1"/>
                <w:sz w:val="19"/>
              </w:rPr>
              <w:t xml:space="preserve">    </w:t>
            </w:r>
            <w:r>
              <w:rPr>
                <w:rFonts w:ascii="Consolas" w:hAnsi="Consolas"/>
                <w:color w:val="ECF0F1"/>
                <w:sz w:val="19"/>
              </w:rPr>
              <w:t>min_confidence: 0.4                # Confiance minimale pour participer</w:t>
            </w:r>
          </w:p>
          <w:p>
            <w:pPr>
              <w:pStyle w:val="Normal"/>
              <w:spacing w:before="20" w:after="20"/>
              <w:rPr/>
            </w:pPr>
            <w:r>
              <w:rPr>
                <w:rFonts w:ascii="Consolas" w:hAnsi="Consolas"/>
                <w:color w:val="ECF0F1"/>
                <w:sz w:val="19"/>
              </w:rPr>
              <w:t xml:space="preserve">    </w:t>
            </w:r>
            <w:r>
              <w:rPr>
                <w:rFonts w:ascii="Consolas" w:hAnsi="Consolas"/>
                <w:color w:val="ECF0F1"/>
                <w:sz w:val="19"/>
              </w:rPr>
              <w:t>eps_m: 60                          # Distance max entre détections (mètres)</w:t>
            </w:r>
          </w:p>
          <w:p>
            <w:pPr>
              <w:pStyle w:val="Normal"/>
              <w:spacing w:before="20" w:after="20"/>
              <w:rPr/>
            </w:pPr>
            <w:r>
              <w:rPr>
                <w:rFonts w:ascii="Consolas" w:hAnsi="Consolas"/>
                <w:color w:val="ECF0F1"/>
                <w:sz w:val="19"/>
              </w:rPr>
              <w:t xml:space="preserve">    </w:t>
            </w:r>
            <w:r>
              <w:rPr>
                <w:rFonts w:ascii="Consolas" w:hAnsi="Consolas"/>
                <w:color w:val="ECF0F1"/>
                <w:sz w:val="19"/>
              </w:rPr>
              <w:t>min_cluster_size: 10               # Nb minimum de détections par groupe</w:t>
            </w:r>
          </w:p>
          <w:p>
            <w:pPr>
              <w:pStyle w:val="Normal"/>
              <w:spacing w:before="20" w:after="20"/>
              <w:rPr/>
            </w:pPr>
            <w:r>
              <w:rPr>
                <w:rFonts w:ascii="Consolas" w:hAnsi="Consolas"/>
                <w:color w:val="ECF0F1"/>
                <w:sz w:val="19"/>
              </w:rPr>
              <w:t xml:space="preserve">    </w:t>
            </w:r>
            <w:r>
              <w:rPr>
                <w:rFonts w:ascii="Consolas" w:hAnsi="Consolas"/>
                <w:color w:val="ECF0F1"/>
                <w:sz w:val="19"/>
              </w:rPr>
              <w:t>min_samples: 5                     # Paramètre DBSCAN : voisinage minimum</w:t>
            </w:r>
          </w:p>
          <w:p>
            <w:pPr>
              <w:pStyle w:val="Normal"/>
              <w:spacing w:before="20" w:after="20"/>
              <w:rPr/>
            </w:pPr>
            <w:r>
              <w:rPr>
                <w:rFonts w:ascii="Consolas" w:hAnsi="Consolas"/>
                <w:color w:val="ECF0F1"/>
                <w:sz w:val="19"/>
              </w:rPr>
              <w:t xml:space="preserve">    </w:t>
            </w:r>
            <w:r>
              <w:rPr>
                <w:rFonts w:ascii="Consolas" w:hAnsi="Consolas"/>
                <w:color w:val="ECF0F1"/>
                <w:sz w:val="19"/>
              </w:rPr>
              <w:t>output_class_name: "zone_crateres" # Nom de la classe de sortie</w:t>
            </w:r>
          </w:p>
          <w:p>
            <w:pPr>
              <w:pStyle w:val="Normal"/>
              <w:spacing w:before="20" w:after="20"/>
              <w:rPr/>
            </w:pPr>
            <w:r>
              <w:rPr>
                <w:rFonts w:ascii="Consolas" w:hAnsi="Consolas"/>
                <w:color w:val="ECF0F1"/>
                <w:sz w:val="19"/>
              </w:rPr>
              <w:t xml:space="preserve">    </w:t>
            </w:r>
            <w:r>
              <w:rPr>
                <w:rFonts w:ascii="Consolas" w:hAnsi="Consolas"/>
                <w:color w:val="ECF0F1"/>
                <w:sz w:val="19"/>
              </w:rPr>
              <w:t>output_geometry: "convex_hull"     # convex_hull ou bounding_box</w:t>
            </w:r>
          </w:p>
          <w:p>
            <w:pPr>
              <w:pStyle w:val="Normal"/>
              <w:spacing w:before="20" w:after="20"/>
              <w:rPr/>
            </w:pPr>
            <w:r>
              <w:rPr>
                <w:rFonts w:ascii="Consolas" w:hAnsi="Consolas"/>
                <w:color w:val="ECF0F1"/>
                <w:sz w:val="19"/>
              </w:rPr>
              <w:t xml:space="preserve">    </w:t>
            </w:r>
            <w:r>
              <w:rPr>
                <w:rFonts w:ascii="Consolas" w:hAnsi="Consolas"/>
                <w:color w:val="ECF0F1"/>
                <w:sz w:val="19"/>
              </w:rPr>
              <w:t>buffer_m: 10                       # Marge autour de la géométrie (mètres)</w:t>
            </w:r>
          </w:p>
          <w:p>
            <w:pPr>
              <w:pStyle w:val="Normal"/>
              <w:spacing w:before="20" w:after="20"/>
              <w:rPr/>
            </w:pPr>
            <w:r>
              <w:rPr>
                <w:rFonts w:ascii="Consolas" w:hAnsi="Consolas"/>
                <w:color w:val="ECF0F1"/>
                <w:sz w:val="19"/>
              </w:rPr>
              <w:t xml:space="preserve">    </w:t>
            </w:r>
            <w:r>
              <w:rPr>
                <w:rFonts w:ascii="Consolas" w:hAnsi="Consolas"/>
                <w:color w:val="ECF0F1"/>
                <w:sz w:val="19"/>
              </w:rPr>
              <w:t>min_area_m2: 500                   # Surface minimale conservée (m²)</w:t>
            </w:r>
          </w:p>
        </w:tc>
      </w:tr>
    </w:tbl>
    <w:p>
      <w:pPr>
        <w:pStyle w:val="Normal"/>
        <w:rPr/>
      </w:pPr>
      <w:r>
        <w:rPr/>
      </w:r>
    </w:p>
    <w:p>
      <w:pPr>
        <w:pStyle w:val="Heading2"/>
        <w:rPr/>
      </w:pPr>
      <w:bookmarkStart w:id="69" w:name="__RefHeading___Toc4011_1193836322"/>
      <w:bookmarkEnd w:id="69"/>
      <w:r>
        <w:rPr>
          <w:rFonts w:ascii="Segoe UI" w:hAnsi="Segoe UI"/>
          <w:b/>
          <w:color w:val="1F2E5E"/>
          <w:sz w:val="32"/>
        </w:rPr>
        <w:t>C.3 Description des paramètres</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c>
          <w:tcPr>
            <w:tcW w:w="4986"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Paramètre</w:t>
            </w:r>
          </w:p>
        </w:tc>
        <w:tc>
          <w:tcPr>
            <w:tcW w:w="4985"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Description</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target_classes</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Liste des classes de détections individuelles à regrouper</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min_confidence</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Les détections sous ce seuil sont exclues du clustering</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eps_m</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Distance en mètres en dessous de laquelle deux détections sont voisines. Paramètre clé à calibrer</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min_cluster_size</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Un groupe avec moins de détections que cette valeur est ignoré</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min_samples</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Nombre minimum de voisins dans le rayon eps_m pour qu'un point soit considéré dense</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output_class_name</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Nom de la classe de sortie dans les shapefiles</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output_geometry</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convex_hull = enveloppe convexe, bounding_box = rectangle englobant</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buffer_m</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Marge ajoutée autour de la géométrie finale</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min_area_m2</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Les zones inférieures à cette surface sont supprimées</w:t>
            </w:r>
          </w:p>
        </w:tc>
      </w:tr>
    </w:tbl>
    <w:p>
      <w:pPr>
        <w:pStyle w:val="Normal"/>
        <w:rPr/>
      </w:pPr>
      <w:r>
        <w:rPr/>
      </w:r>
    </w:p>
    <w:p>
      <w:pPr>
        <w:pStyle w:val="Heading2"/>
        <w:rPr/>
      </w:pPr>
      <w:bookmarkStart w:id="70" w:name="__RefHeading___Toc4013_1193836322"/>
      <w:bookmarkEnd w:id="70"/>
      <w:r>
        <w:rPr>
          <w:rFonts w:ascii="Segoe UI" w:hAnsi="Segoe UI"/>
          <w:b/>
          <w:color w:val="1F2E5E"/>
          <w:sz w:val="32"/>
        </w:rPr>
        <w:t>C.4 Pondération par confiance (confidence_weight)</w:t>
      </w:r>
    </w:p>
    <w:p>
      <w:pPr>
        <w:pStyle w:val="Normal"/>
        <w:spacing w:lineRule="exact" w:line="320" w:before="0" w:after="160"/>
        <w:rPr/>
      </w:pPr>
      <w:r>
        <w:rPr>
          <w:color w:val="3A3A3A"/>
          <w:sz w:val="22"/>
        </w:rPr>
        <w:t>Un paramètre optionnel confidence_weight (défaut : 0) module la distance effective entre détections en fonction de leur confiance respective. Deux détections très confiantes seront considérées plus proches.</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2"/>
      </w:tblGrid>
      <w:tr>
        <w:trPr/>
        <w:tc>
          <w:tcPr>
            <w:tcW w:w="9972" w:type="dxa"/>
            <w:tcBorders>
              <w:top w:val="single" w:sz="4" w:space="0" w:color="1F2E5E"/>
              <w:left w:val="single" w:sz="4" w:space="0" w:color="1F2E5E"/>
              <w:bottom w:val="single" w:sz="4" w:space="0" w:color="1F2E5E"/>
              <w:right w:val="single" w:sz="4" w:space="0" w:color="1F2E5E"/>
            </w:tcBorders>
            <w:shd w:fill="1F2E5E" w:val="clear"/>
          </w:tcPr>
          <w:p>
            <w:pPr>
              <w:pStyle w:val="Normal"/>
              <w:spacing w:before="20" w:after="20"/>
              <w:rPr/>
            </w:pPr>
            <w:r>
              <w:rPr>
                <w:rFonts w:ascii="Consolas" w:hAnsi="Consolas"/>
                <w:color w:val="ECF0F1"/>
                <w:sz w:val="19"/>
              </w:rPr>
              <w:t>confidence_weight: 0.5   # 0 = DBSCAN classique, &gt;0 = pondération par confiance</w:t>
            </w:r>
          </w:p>
        </w:tc>
      </w:tr>
    </w:tbl>
    <w:p>
      <w:pPr>
        <w:pStyle w:val="Normal"/>
        <w:rPr/>
      </w:pPr>
      <w:r>
        <w:rPr/>
      </w:r>
    </w:p>
    <w:p>
      <w:pPr>
        <w:pStyle w:val="Heading2"/>
        <w:rPr/>
      </w:pPr>
      <w:bookmarkStart w:id="71" w:name="__RefHeading___Toc4015_1193836322"/>
      <w:bookmarkEnd w:id="71"/>
      <w:r>
        <w:rPr>
          <w:rFonts w:ascii="Segoe UI" w:hAnsi="Segoe UI"/>
          <w:b/>
          <w:color w:val="1F2E5E"/>
          <w:sz w:val="32"/>
        </w:rPr>
        <w:t>C.5 Attributs des shapefiles de zones</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c>
          <w:tcPr>
            <w:tcW w:w="4986"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Attribut</w:t>
            </w:r>
          </w:p>
        </w:tc>
        <w:tc>
          <w:tcPr>
            <w:tcW w:w="4985"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Description</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class_name</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Nom de la classe de zone</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confidence</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Confiance moyenne des détections du groupe</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nb_detect</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Nombre de détections individuelles dans la zone</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area_m2</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Surface de la zone en m²</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density</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Densité de détections par hectare</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cluster_id</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Identifiant unique du groupe</w:t>
            </w:r>
          </w:p>
        </w:tc>
      </w:tr>
    </w:tbl>
    <w:p>
      <w:pPr>
        <w:pStyle w:val="Normal"/>
        <w:rPr/>
      </w:pPr>
      <w:r>
        <w:rPr/>
      </w:r>
    </w:p>
    <w:p>
      <w:pPr>
        <w:pStyle w:val="Normal"/>
        <w:rPr/>
      </w:pPr>
      <w:r>
        <w:rPr/>
      </w:r>
      <w:r>
        <w:br w:type="page"/>
      </w:r>
    </w:p>
    <w:p>
      <w:pPr>
        <w:pStyle w:val="Heading1"/>
        <w:pBdr>
          <w:left w:val="single" w:sz="36" w:space="10" w:color="000091"/>
        </w:pBdr>
        <w:spacing w:before="0" w:after="120"/>
        <w:ind w:left="170"/>
        <w:rPr/>
      </w:pPr>
      <w:bookmarkStart w:id="72" w:name="__RefHeading___Toc4017_1193836322"/>
      <w:bookmarkEnd w:id="72"/>
      <w:r>
        <w:rPr>
          <w:rFonts w:ascii="Segoe UI" w:hAnsi="Segoe UI"/>
          <w:b/>
          <w:color w:val="000091"/>
          <w:sz w:val="44"/>
        </w:rPr>
        <w:t xml:space="preserve">📚  </w:t>
      </w:r>
      <w:r>
        <w:rPr>
          <w:rFonts w:ascii="Segoe UI" w:hAnsi="Segoe UI"/>
          <w:b/>
          <w:color w:val="000091"/>
          <w:sz w:val="44"/>
        </w:rPr>
        <w:t>Glossaire</w:t>
      </w:r>
    </w:p>
    <w:p>
      <w:pPr>
        <w:pStyle w:val="Normal"/>
        <w:pBdr>
          <w:bottom w:val="single" w:sz="12" w:space="1" w:color="6A6AF4"/>
        </w:pBdr>
        <w:spacing w:before="0" w:after="120"/>
        <w:rPr/>
      </w:pPr>
      <w:r>
        <w:rPr/>
      </w:r>
    </w:p>
    <w:p>
      <w:pPr>
        <w:pStyle w:val="Normal"/>
        <w:spacing w:lineRule="exact" w:line="320" w:before="0" w:after="160"/>
        <w:rPr/>
      </w:pPr>
      <w:r>
        <w:rPr>
          <w:color w:val="3A3A3A"/>
          <w:sz w:val="22"/>
        </w:rPr>
        <w:t>Lexique des termes techniques utilisés dans cette documentation.</w:t>
      </w:r>
    </w:p>
    <w:tbl>
      <w:tblPr>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c>
          <w:tcPr>
            <w:tcW w:w="4986"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Terme</w:t>
            </w:r>
          </w:p>
        </w:tc>
        <w:tc>
          <w:tcPr>
            <w:tcW w:w="4985" w:type="dxa"/>
            <w:tcBorders>
              <w:top w:val="single" w:sz="4" w:space="0" w:color="DEE2E6"/>
              <w:left w:val="single" w:sz="4" w:space="0" w:color="DEE2E6"/>
              <w:bottom w:val="single" w:sz="4" w:space="0" w:color="DEE2E6"/>
              <w:right w:val="single" w:sz="4" w:space="0" w:color="DEE2E6"/>
            </w:tcBorders>
            <w:shd w:fill="000091" w:val="clear"/>
          </w:tcPr>
          <w:p>
            <w:pPr>
              <w:pStyle w:val="Normal"/>
              <w:spacing w:before="0" w:after="200"/>
              <w:jc w:val="left"/>
              <w:rPr/>
            </w:pPr>
            <w:r>
              <w:rPr>
                <w:b/>
                <w:color w:val="FFFFFF"/>
                <w:sz w:val="20"/>
              </w:rPr>
              <w:t>Définition</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ASPRS</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American Society for Photogrammetry and Remote Sensing — classification standard des points LiDAR (2 = sol, 6 = bâtiment…).</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COPC</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Cloud-Optimized Point Cloud — format LAZ indexé par l'IGN pour un accès rapide.</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CV</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Computer Vision — détection automatique d'entités par intelligence artificielle.</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DBSCAN</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Density-Based Spatial Clustering — algorithme de regroupement spatial fondé sur la densité.</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GeoTIFF</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Format raster TIF avec géoréférencement embarqué.</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GPKG</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GeoPackage — format de données vectorielles (équivalent moderne du shapefile).</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IGN LiDAR HD</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Programme national IGN fournissant des données LiDAR haute densité sur la France métropolitaine.</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IoU</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Intersection over Union — mesure de recouvrement entre deux polygones (0 à 1).</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LAZ / LAS</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Formats de nuages de points LiDAR (LAZ est une version compressée de LAS).</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LD</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Local Dominance — indice RVT mesurant la dominance locale d'un point.</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LiDAR</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Light Detection And Ranging — technologie de télémétrie laser.</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M-HS</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Multi-directional Hillshade — ombrage multidirectionnel.</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MNT</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Modèle Numérique de Terrain — raster d'altitude du sol nu.</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MNS</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Modèle Numérique de Surface — raster d'altitude incluant le sursol (arbres, bâtiments…).</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ONNX</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Open Neural Network Exchange — format standard de modèles d'IA.</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PDAL</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Point Data Abstraction Library — bibliothèque de traitement des nuages de points LiDAR.</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RVT</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Relief Visualization Toolbox — ensemble d'indices de visualisation du relief.</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SAHI</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Slicing Aided Hyper Inference — technique de découpage d'images en tuiles pour la détection.</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Shapefile</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Format vectoriel .shp (ESRI) — souvent remplacé ici par GeoPackage.</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SLO</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Slope — carte de pente du terrain.</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SLRM</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Simple Local Relief Model — isole le micro-relief en soustrayant une surface lissée au MNT.</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SVF</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Sky View Factor — proportion de ciel visible depuis chaque point (révèle les creux).</w:t>
            </w:r>
          </w:p>
        </w:tc>
      </w:tr>
      <w:tr>
        <w:trPr/>
        <w:tc>
          <w:tcPr>
            <w:tcW w:w="4986"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VAT</w:t>
            </w:r>
          </w:p>
        </w:tc>
        <w:tc>
          <w:tcPr>
            <w:tcW w:w="4985" w:type="dxa"/>
            <w:tcBorders>
              <w:top w:val="single" w:sz="4" w:space="0" w:color="DEE2E6"/>
              <w:left w:val="single" w:sz="4" w:space="0" w:color="DEE2E6"/>
              <w:bottom w:val="single" w:sz="4" w:space="0" w:color="DEE2E6"/>
              <w:right w:val="single" w:sz="4" w:space="0" w:color="DEE2E6"/>
            </w:tcBorders>
            <w:shd w:fill="F8F9FA" w:val="clear"/>
          </w:tcPr>
          <w:p>
            <w:pPr>
              <w:pStyle w:val="Normal"/>
              <w:widowControl/>
              <w:bidi w:val="0"/>
              <w:spacing w:lineRule="auto" w:line="324" w:before="0" w:after="200"/>
              <w:jc w:val="left"/>
              <w:rPr/>
            </w:pPr>
            <w:r>
              <w:rPr>
                <w:color w:val="3A3A3A"/>
                <w:sz w:val="20"/>
              </w:rPr>
              <w:t>Visualisation Archéologique Totale — combinaison d'indices RVT optimisée pour l'archéologie.</w:t>
            </w:r>
          </w:p>
        </w:tc>
      </w:tr>
      <w:tr>
        <w:trPr/>
        <w:tc>
          <w:tcPr>
            <w:tcW w:w="4986"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VRT</w:t>
            </w:r>
          </w:p>
        </w:tc>
        <w:tc>
          <w:tcPr>
            <w:tcW w:w="4985" w:type="dxa"/>
            <w:tcBorders>
              <w:top w:val="single" w:sz="4" w:space="0" w:color="DEE2E6"/>
              <w:left w:val="single" w:sz="4" w:space="0" w:color="DEE2E6"/>
              <w:bottom w:val="single" w:sz="4" w:space="0" w:color="DEE2E6"/>
              <w:right w:val="single" w:sz="4" w:space="0" w:color="DEE2E6"/>
            </w:tcBorders>
            <w:shd w:fill="FFFFFF" w:val="clear"/>
          </w:tcPr>
          <w:p>
            <w:pPr>
              <w:pStyle w:val="Normal"/>
              <w:widowControl/>
              <w:bidi w:val="0"/>
              <w:spacing w:lineRule="auto" w:line="324" w:before="0" w:after="200"/>
              <w:jc w:val="left"/>
              <w:rPr/>
            </w:pPr>
            <w:r>
              <w:rPr>
                <w:color w:val="3A3A3A"/>
                <w:sz w:val="20"/>
              </w:rPr>
              <w:t>Virtual Raster — fichier XML qui assemble virtuellement plusieurs rasters en mosaïque.</w:t>
            </w:r>
          </w:p>
        </w:tc>
      </w:tr>
    </w:tbl>
    <w:p>
      <w:pPr>
        <w:pStyle w:val="Normal"/>
        <w:widowControl/>
        <w:bidi w:val="0"/>
        <w:spacing w:lineRule="auto" w:line="324" w:before="0" w:after="200"/>
        <w:jc w:val="left"/>
        <w:rPr/>
      </w:pPr>
      <w:r>
        <w:rPr/>
      </w:r>
    </w:p>
    <w:sectPr>
      <w:headerReference w:type="even" r:id="rId19"/>
      <w:headerReference w:type="default" r:id="rId20"/>
      <w:headerReference w:type="first" r:id="rId21"/>
      <w:footerReference w:type="even" r:id="rId22"/>
      <w:footerReference w:type="default" r:id="rId23"/>
      <w:footerReference w:type="first" r:id="rId24"/>
      <w:type w:val="nextPage"/>
      <w:pgSz w:w="12240" w:h="15840"/>
      <w:pgMar w:left="1134" w:right="1134" w:gutter="0" w:header="720" w:top="1417" w:footer="720"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Segoe UI">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Consola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680" w:leader="none"/>
        <w:tab w:val="right" w:pos="9360" w:leader="none"/>
        <w:tab w:val="right" w:pos="9972" w:leader="none"/>
      </w:tabs>
      <w:spacing w:before="80" w:after="0"/>
      <w:rPr/>
    </w:pPr>
    <w:r>
      <w:rPr>
        <w:i/>
        <w:color w:val="666666"/>
        <w:sz w:val="18"/>
      </w:rPr>
      <w:t>Archéolog'IA</w:t>
    </w:r>
    <w:r>
      <w:rPr/>
      <w:tab/>
    </w:r>
    <w:r>
      <w:rPr>
        <w:i/>
        <w:color w:val="666666"/>
        <w:sz w:val="18"/>
      </w:rPr>
      <w:t xml:space="preserve">Page </w:t>
    </w:r>
    <w:r>
      <w:rPr/>
      <w:fldChar w:fldCharType="begin"/>
    </w:r>
    <w:r>
      <w:rPr/>
      <w:instrText xml:space="preserve"> PAGE </w:instrText>
    </w:r>
    <w:r>
      <w:rPr/>
      <w:fldChar w:fldCharType="separate"/>
    </w:r>
    <w:r>
      <w:rPr/>
      <w:t>39</w:t>
    </w:r>
    <w:r>
      <w:rPr/>
      <w:fldChar w:fldCharType="end"/>
    </w:r>
    <w:r>
      <w:rPr>
        <w:i/>
        <w:color w:val="666666"/>
        <w:sz w:val="18"/>
      </w:rPr>
      <w:t xml:space="preserve"> / </w:t>
    </w:r>
    <w:r>
      <w:rPr/>
      <w:fldChar w:fldCharType="begin"/>
    </w:r>
    <w:r>
      <w:rPr/>
      <w:instrText xml:space="preserve"> NUMPAGES </w:instrText>
    </w:r>
    <w:r>
      <w:rPr/>
      <w:fldChar w:fldCharType="separate"/>
    </w:r>
    <w:r>
      <w:rPr/>
      <w:t>41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DEE2E6"/>
      </w:pBdr>
      <w:tabs>
        <w:tab w:val="center" w:pos="4680" w:leader="none"/>
        <w:tab w:val="right" w:pos="9360" w:leader="none"/>
        <w:tab w:val="right" w:pos="9972" w:leader="none"/>
      </w:tabs>
      <w:spacing w:before="0" w:after="80"/>
      <w:jc w:val="right"/>
      <w:rPr/>
    </w:pPr>
    <w:r>
      <w:rPr>
        <w:b/>
        <w:i/>
        <w:color w:val="666666"/>
        <w:sz w:val="18"/>
      </w:rPr>
      <w:t>Archéolog'IA — Documentation utilisateur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24" w:before="0" w:after="200"/>
      <w:jc w:val="left"/>
    </w:pPr>
    <w:rPr>
      <w:rFonts w:ascii="Segoe UI" w:hAnsi="Segoe UI" w:eastAsia="ＭＳ 明朝" w:cs=""/>
      <w:color w:val="3A3A3A"/>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600" w:after="120"/>
      <w:outlineLvl w:val="0"/>
    </w:pPr>
    <w:rPr>
      <w:rFonts w:ascii="Calibri" w:hAnsi="Calibri" w:eastAsia="" w:cs="" w:asciiTheme="majorHAnsi" w:cstheme="majorBidi" w:eastAsiaTheme="majorEastAsia" w:hAnsiTheme="majorHAnsi"/>
      <w:b/>
      <w:bCs/>
      <w:color w:val="000091"/>
      <w:sz w:val="44"/>
      <w:szCs w:val="28"/>
    </w:rPr>
  </w:style>
  <w:style w:type="paragraph" w:styleId="Heading2">
    <w:name w:val="heading 2"/>
    <w:basedOn w:val="Normal"/>
    <w:next w:val="Normal"/>
    <w:link w:val="Heading2Char"/>
    <w:uiPriority w:val="9"/>
    <w:unhideWhenUsed/>
    <w:qFormat/>
    <w:rsid w:val="00fc693f"/>
    <w:pPr>
      <w:keepNext w:val="true"/>
      <w:keepLines/>
      <w:spacing w:before="400" w:after="160"/>
      <w:outlineLvl w:val="1"/>
    </w:pPr>
    <w:rPr>
      <w:rFonts w:ascii="Calibri" w:hAnsi="Calibri" w:eastAsia="" w:cs="" w:asciiTheme="majorHAnsi" w:cstheme="majorBidi" w:eastAsiaTheme="majorEastAsia" w:hAnsiTheme="majorHAnsi"/>
      <w:b/>
      <w:bCs/>
      <w:color w:val="1F2E5E"/>
      <w:sz w:val="32"/>
      <w:szCs w:val="26"/>
    </w:rPr>
  </w:style>
  <w:style w:type="paragraph" w:styleId="Heading3">
    <w:name w:val="heading 3"/>
    <w:basedOn w:val="Normal"/>
    <w:next w:val="Normal"/>
    <w:link w:val="Heading3Char"/>
    <w:uiPriority w:val="9"/>
    <w:unhideWhenUsed/>
    <w:qFormat/>
    <w:rsid w:val="00fc693f"/>
    <w:pPr>
      <w:keepNext w:val="true"/>
      <w:keepLines/>
      <w:spacing w:before="280" w:after="120"/>
      <w:outlineLvl w:val="2"/>
    </w:pPr>
    <w:rPr>
      <w:rFonts w:ascii="Calibri" w:hAnsi="Calibri" w:eastAsia="" w:cs="" w:asciiTheme="majorHAnsi" w:cstheme="majorBidi" w:eastAsiaTheme="majorEastAsia" w:hAnsiTheme="majorHAnsi"/>
      <w:b/>
      <w:bCs/>
      <w:color w:val="1F2E5E"/>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autdindexuser">
    <w:name w:val="Saut d'index (user)"/>
    <w:qFormat/>
    <w:rPr/>
  </w:style>
  <w:style w:type="character" w:styleId="Sautdindex">
    <w:name w:val="Saut d'index"/>
    <w:qFormat/>
    <w:rPr/>
  </w:style>
  <w:style w:type="character" w:styleId="FollowedHyperlink">
    <w:name w:val="FollowedHyperlink"/>
    <w:rPr>
      <w:color w:val="800000"/>
      <w:u w:val="single"/>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user"/>
    <w:pPr/>
    <w:rPr/>
  </w:style>
  <w:style w:type="paragraph" w:styleId="TOCHeading">
    <w:name w:val="TOC Heading"/>
    <w:basedOn w:val="Heading1"/>
    <w:next w:val="Normal"/>
    <w:uiPriority w:val="39"/>
    <w:semiHidden/>
    <w:unhideWhenUsed/>
    <w:qFormat/>
    <w:rsid w:val="00fc693f"/>
    <w:pPr>
      <w:outlineLvl w:val="9"/>
    </w:pPr>
    <w:rPr/>
  </w:style>
  <w:style w:type="paragraph" w:styleId="Blocdecitationuser">
    <w:name w:val="Bloc de citation (user)"/>
    <w:basedOn w:val="Normal"/>
    <w:qFormat/>
    <w:pPr>
      <w:spacing w:before="0" w:after="283"/>
      <w:ind w:hanging="0" w:left="567" w:right="567"/>
    </w:pPr>
    <w:rPr/>
  </w:style>
  <w:style w:type="paragraph" w:styleId="TOC1">
    <w:name w:val="toc 1"/>
    <w:basedOn w:val="Index"/>
    <w:pPr>
      <w:tabs>
        <w:tab w:val="clear" w:pos="720"/>
        <w:tab w:val="right" w:pos="9972" w:leader="dot"/>
      </w:tabs>
      <w:ind w:hanging="0" w:left="0"/>
    </w:pPr>
    <w:rPr/>
  </w:style>
  <w:style w:type="paragraph" w:styleId="TOC2">
    <w:name w:val="toc 2"/>
    <w:basedOn w:val="Index"/>
    <w:pPr>
      <w:tabs>
        <w:tab w:val="clear" w:pos="720"/>
        <w:tab w:val="right" w:pos="9689" w:leader="dot"/>
      </w:tabs>
      <w:ind w:hanging="0" w:left="283"/>
    </w:pPr>
    <w:rPr/>
  </w:style>
  <w:style w:type="paragraph" w:styleId="TOC3">
    <w:name w:val="toc 3"/>
    <w:basedOn w:val="Index"/>
    <w:pPr>
      <w:tabs>
        <w:tab w:val="clear" w:pos="720"/>
        <w:tab w:val="right" w:pos="9405" w:leader="dot"/>
      </w:tabs>
      <w:ind w:hanging="0" w:left="567"/>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paragraph" w:styleId="Contenudetableauuser">
    <w:name w:val="Contenu de tableau (user)"/>
    <w:basedOn w:val="Normal"/>
    <w:qFormat/>
    <w:pPr>
      <w:widowControl w:val="false"/>
      <w:suppressLineNumbers/>
    </w:pPr>
    <w:rPr/>
  </w:style>
  <w:style w:type="paragraph" w:styleId="Titredetableauuser">
    <w:name w:val="Titre de tableau (user)"/>
    <w:basedOn w:val="Contenudetableauuser"/>
    <w:qFormat/>
    <w:pPr>
      <w:suppressLineNumbers/>
      <w:jc w:val="center"/>
    </w:pPr>
    <w:rPr>
      <w:b/>
      <w:bCs/>
    </w:rPr>
  </w:style>
  <w:style w:type="numbering" w:styleId="Pasdelisteuser" w:default="1">
    <w:name w:val="Pas de liste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jpeg"/><Relationship Id="rId18" Type="http://schemas.openxmlformats.org/officeDocument/2006/relationships/image" Target="media/image16.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Application>LibreOffice/25.2.7.2$Windows_X86_64 LibreOffice_project/5cbfd1ab6520636bb5f7b99185aa69bd7456825d</Application>
  <AppVersion>15.0000</AppVersion>
  <Pages>41</Pages>
  <Words>4936</Words>
  <Characters>26931</Characters>
  <CharactersWithSpaces>31893</CharactersWithSpaces>
  <Paragraphs>760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2026-04-20T13:03:51Z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