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847975" cy="540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center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Grille d’éligibilité à la phase d’accélération du programme beta.gouv.fr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center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both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Cette grille évalue les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critères d’éligibilité à la phase d’accélération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du programme beta.gouv.fr. Elle est complétée à l’issue d’une phase de construction et constitue une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aide à la décision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des partenaires investisseurs.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widowControl w:val="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qj5v7nm1ok9g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7560"/>
        <w:tblGridChange w:id="0">
          <w:tblGrid>
            <w:gridCol w:w="2880"/>
            <w:gridCol w:w="75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Nom de la startup d'État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Administration porteuse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Date de début de construction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Intrapreneur(e)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Sponsor(s)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Mentor(s) beta.gouv.fr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widowControl w:val="1"/>
        <w:spacing w:after="0" w:lineRule="auto"/>
        <w:jc w:val="both"/>
        <w:rPr/>
      </w:pPr>
      <w:bookmarkStart w:colFirst="0" w:colLast="0" w:name="_n54ny56gu56v" w:id="1"/>
      <w:bookmarkEnd w:id="1"/>
      <w:r w:rsidDel="00000000" w:rsidR="00000000" w:rsidRPr="00000000">
        <w:rPr>
          <w:rtl w:val="0"/>
        </w:rPr>
        <w:t xml:space="preserve">Critères principaux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1"/>
        <w:spacing w:after="0" w:lineRule="auto"/>
        <w:jc w:val="both"/>
        <w:rPr/>
      </w:pPr>
      <w:bookmarkStart w:colFirst="0" w:colLast="0" w:name="_ib4cgi8qu416" w:id="2"/>
      <w:bookmarkEnd w:id="2"/>
      <w:r w:rsidDel="00000000" w:rsidR="00000000" w:rsidRPr="00000000">
        <w:rPr>
          <w:rtl w:val="0"/>
        </w:rPr>
        <w:t xml:space="preserve">Adéquation produit/marché</w:t>
      </w:r>
    </w:p>
    <w:p w:rsidR="00000000" w:rsidDel="00000000" w:rsidP="00000000" w:rsidRDefault="00000000" w:rsidRPr="00000000" w14:paraId="00000014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Le marché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atteignable est-il identifié (taille et périmètre, ciblage pertinent des utilisateurs ; ex. nombre de personnes ou d’organismes concernés par le problème traité, nombre et fréquence d'occurrences, etc.) ? Le produit est-il opérationnel ? A-t-il prouvé sa valeur auprès de premiers utilisateurs récurrents (1 à 5% minimum du marché atteignable touché) ? La valeur du produit justifie-t-elle un ré-investissement potentiel de plusieurs centaines de milliers d’euros d’argent public pour le déployer à large échelle ?</w:t>
      </w:r>
    </w:p>
    <w:p w:rsidR="00000000" w:rsidDel="00000000" w:rsidP="00000000" w:rsidRDefault="00000000" w:rsidRPr="00000000" w14:paraId="00000015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tblGridChange w:id="0">
          <w:tblGrid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widowControl w:val="1"/>
        <w:spacing w:after="0" w:lineRule="auto"/>
        <w:jc w:val="both"/>
        <w:rPr/>
      </w:pPr>
      <w:bookmarkStart w:colFirst="0" w:colLast="0" w:name="_dg2o99vuakqg" w:id="3"/>
      <w:bookmarkEnd w:id="3"/>
      <w:r w:rsidDel="00000000" w:rsidR="00000000" w:rsidRPr="00000000">
        <w:rPr>
          <w:rtl w:val="0"/>
        </w:rPr>
        <w:t xml:space="preserve">Mesure d’impact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Une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mesure d’impact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 réel (social/économique/environnemental) principale a-t-elle été identifiée ? Est-elle suivie en partenariat avec le sponsor ? Est-elle utilisée comme guide pour le pilotage du projet ? Un objectif de croissance de cette métrique à 6 et 18 mois est-il fixé/envisagé ?</w:t>
      </w:r>
    </w:p>
    <w:p w:rsidR="00000000" w:rsidDel="00000000" w:rsidP="00000000" w:rsidRDefault="00000000" w:rsidRPr="00000000" w14:paraId="00000028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tblGridChange w:id="0">
          <w:tblGrid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widowControl w:val="1"/>
        <w:spacing w:after="0" w:lineRule="auto"/>
        <w:jc w:val="both"/>
        <w:rPr/>
      </w:pPr>
      <w:bookmarkStart w:colFirst="0" w:colLast="0" w:name="_py3n3bwq4ntv" w:id="4"/>
      <w:bookmarkEnd w:id="4"/>
      <w:r w:rsidDel="00000000" w:rsidR="00000000" w:rsidRPr="00000000">
        <w:rPr>
          <w:rtl w:val="0"/>
        </w:rPr>
        <w:t xml:space="preserve">Organisation de l’équipe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L’équipe est-elle organisée et construite pour porter la croissance ? Les moyens humains et les rôles nécessaires sont-ils clairement identifiés ? Les processus internes sont-ils construits et structurés pour permettre ce passage à l’échelle (formation et onboarding, outils, documentation des processus, etc.) ? La culture de l’équipe est-elle alignée avec les </w:t>
      </w:r>
      <w:hyperlink r:id="rId7">
        <w:r w:rsidDel="00000000" w:rsidR="00000000" w:rsidRPr="00000000">
          <w:rPr>
            <w:rFonts w:ascii="Helvetica Neue Light" w:cs="Helvetica Neue Light" w:eastAsia="Helvetica Neue Light" w:hAnsi="Helvetica Neue Light"/>
            <w:i w:val="1"/>
            <w:color w:val="1155cc"/>
            <w:sz w:val="20"/>
            <w:szCs w:val="20"/>
            <w:u w:val="single"/>
            <w:rtl w:val="0"/>
          </w:rPr>
          <w:t xml:space="preserve">valeurs de beta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 et propice à un déploiement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tblGridChange w:id="0">
          <w:tblGrid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widowControl w:val="1"/>
        <w:spacing w:after="0" w:lineRule="auto"/>
        <w:jc w:val="both"/>
        <w:rPr/>
      </w:pPr>
      <w:bookmarkStart w:colFirst="0" w:colLast="0" w:name="_b6g7w66tfe6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1"/>
        <w:spacing w:after="0" w:lineRule="auto"/>
        <w:jc w:val="both"/>
        <w:rPr/>
      </w:pPr>
      <w:bookmarkStart w:colFirst="0" w:colLast="0" w:name="_zhpfbs2ucy0" w:id="6"/>
      <w:bookmarkEnd w:id="6"/>
      <w:r w:rsidDel="00000000" w:rsidR="00000000" w:rsidRPr="00000000">
        <w:rPr>
          <w:rtl w:val="0"/>
        </w:rPr>
        <w:t xml:space="preserve">Critères d’aide à la décision additionnels</w:t>
      </w:r>
    </w:p>
    <w:p w:rsidR="00000000" w:rsidDel="00000000" w:rsidP="00000000" w:rsidRDefault="00000000" w:rsidRPr="00000000" w14:paraId="0000004E">
      <w:pPr>
        <w:widowControl w:val="1"/>
        <w:spacing w:after="0" w:lineRule="auto"/>
        <w:jc w:val="both"/>
        <w:rPr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La phase de construction permet également à l’équipe de la DINUM en charge du programme beta.gouv.fr d’évaluer une série de facteurs pouvant contribuer au succès ou à l’échec du déploiement à plus large échelle du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widowControl w:val="1"/>
        <w:spacing w:after="0" w:lineRule="auto"/>
        <w:jc w:val="both"/>
        <w:rPr/>
      </w:pPr>
      <w:bookmarkStart w:colFirst="0" w:colLast="0" w:name="_j80o6du39p6c" w:id="7"/>
      <w:bookmarkEnd w:id="7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iveau de sponsorship</w:t>
      </w:r>
    </w:p>
    <w:p w:rsidR="00000000" w:rsidDel="00000000" w:rsidP="00000000" w:rsidRDefault="00000000" w:rsidRPr="00000000" w14:paraId="00000050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La startup bénéficie-t-elle d’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un soutien de haut niveau, désireuse de soutenir la phase d’accélération ? Le sponsor est-il aligné avec la démarche d'accélération selon beta.gouv.fr ? L’administration a-t-elle bien en tête les ressources (financières et humaines) à déployer pour soutenir l'accélération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widowControl w:val="1"/>
        <w:spacing w:after="0" w:lineRule="auto"/>
        <w:jc w:val="both"/>
        <w:rPr/>
      </w:pPr>
      <w:bookmarkStart w:colFirst="0" w:colLast="0" w:name="_6kj890uqc1uy" w:id="8"/>
      <w:bookmarkEnd w:id="8"/>
      <w:r w:rsidDel="00000000" w:rsidR="00000000" w:rsidRPr="00000000">
        <w:rPr>
          <w:rtl w:val="0"/>
        </w:rPr>
        <w:t xml:space="preserve">Faisabilité technique, opérationnelle, juridique</w:t>
      </w:r>
    </w:p>
    <w:p w:rsidR="00000000" w:rsidDel="00000000" w:rsidP="00000000" w:rsidRDefault="00000000" w:rsidRPr="00000000" w14:paraId="00000054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Y’a-t-il des blocages ou des contraintes, ou au contraire des facteurs favorables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(juridiques, administratifs, techniques, politiques, etc) importants identifiés pendant la phase de construction pour un déploiement à large échelle ? </w:t>
      </w:r>
    </w:p>
    <w:p w:rsidR="00000000" w:rsidDel="00000000" w:rsidP="00000000" w:rsidRDefault="00000000" w:rsidRPr="00000000" w14:paraId="00000055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widowControl w:val="1"/>
        <w:spacing w:after="0" w:lineRule="auto"/>
        <w:jc w:val="both"/>
        <w:rPr/>
      </w:pPr>
      <w:bookmarkStart w:colFirst="0" w:colLast="0" w:name="_3i6cwjtk3wta" w:id="9"/>
      <w:bookmarkEnd w:id="9"/>
      <w:r w:rsidDel="00000000" w:rsidR="00000000" w:rsidRPr="00000000">
        <w:rPr>
          <w:rtl w:val="0"/>
        </w:rPr>
        <w:t xml:space="preserve">Scénarios de pérennisation</w:t>
      </w:r>
    </w:p>
    <w:p w:rsidR="00000000" w:rsidDel="00000000" w:rsidP="00000000" w:rsidRDefault="00000000" w:rsidRPr="00000000" w14:paraId="00000058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color w:val="00000a"/>
          <w:sz w:val="20"/>
          <w:szCs w:val="20"/>
          <w:rtl w:val="0"/>
        </w:rPr>
        <w:t xml:space="preserve">Des premiers scénarios à 12-18 mois sont-ils envisagés pour un éventuel transfert du service ? Ont-ils commencé à être investigués avec le sponsor ? La pertinence d’établir un modèle d’affaires a-t-elle été considérée en vue de pérenniser le service et son financement ?</w:t>
      </w:r>
    </w:p>
    <w:p w:rsidR="00000000" w:rsidDel="00000000" w:rsidP="00000000" w:rsidRDefault="00000000" w:rsidRPr="00000000" w14:paraId="00000059">
      <w:pPr>
        <w:widowControl w:val="1"/>
        <w:spacing w:after="0" w:lineRule="auto"/>
        <w:jc w:val="both"/>
        <w:rPr>
          <w:rFonts w:ascii="Helvetica Neue Light" w:cs="Helvetica Neue Light" w:eastAsia="Helvetica Neue Light" w:hAnsi="Helvetica Neue Light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spacing w:after="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widowControl w:val="1"/>
        <w:spacing w:after="0" w:lineRule="auto"/>
        <w:jc w:val="both"/>
        <w:rPr/>
      </w:pPr>
      <w:bookmarkStart w:colFirst="0" w:colLast="0" w:name="_n60i0gjvnekn" w:id="10"/>
      <w:bookmarkEnd w:id="1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onclusion</w:t>
      </w:r>
    </w:p>
    <w:p w:rsidR="00000000" w:rsidDel="00000000" w:rsidP="00000000" w:rsidRDefault="00000000" w:rsidRPr="00000000" w14:paraId="0000005C">
      <w:pPr>
        <w:pStyle w:val="Heading2"/>
        <w:widowControl w:val="1"/>
        <w:spacing w:after="0" w:before="0" w:lineRule="auto"/>
        <w:jc w:val="both"/>
        <w:rPr>
          <w:b w:val="0"/>
          <w:sz w:val="22"/>
          <w:szCs w:val="22"/>
        </w:rPr>
      </w:pPr>
      <w:bookmarkStart w:colFirst="0" w:colLast="0" w:name="_ymcsh43eg5pl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7560"/>
        <w:tblGridChange w:id="0">
          <w:tblGrid>
            <w:gridCol w:w="2880"/>
            <w:gridCol w:w="756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Avis équipe beta.gouv.fr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Taille de l’équipe pressentie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Enveloppe pour les 6 prochains mois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a"/>
                <w:sz w:val="20"/>
                <w:szCs w:val="20"/>
                <w:rtl w:val="0"/>
              </w:rPr>
              <w:t xml:space="preserve">Critère de succès quantitatif à 6 mois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Helvetica Neue Light" w:cs="Helvetica Neue Light" w:eastAsia="Helvetica Neue Light" w:hAnsi="Helvetica Neue Light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720" w:top="431.9999999999999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794" w:before="0" w:line="276" w:lineRule="auto"/>
      <w:ind w:left="0" w:right="-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72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eta.gouv.fr/approche/manifest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