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keepNext w:val="1"/>
        <w:keepLines w:val="1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360" w:after="360" w:line="240" w:lineRule="auto"/>
        <w:ind w:right="0"/>
        <w:jc w:val="both"/>
        <w:outlineLvl w:val="0"/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1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</w:pP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1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Comptables responsables</w:t>
      </w:r>
    </w:p>
    <w:p>
      <w:pPr>
        <w:keepNext w:val="0"/>
        <w:keepLines w:val="0"/>
        <w:pageBreakBefore w:val="0"/>
        <w:widowControl w:val="1"/>
        <w:numPr>
          <w:ilvl w:val="0"/>
          <w:numId w:val="4"/>
        </w:numPr>
        <w:shd w:val="clear" w:color="auto" w:fill="auto"/>
        <w:suppressAutoHyphens w:val="0"/>
        <w:bidi w:val="0"/>
        <w:spacing w:before="240" w:after="120" w:line="240" w:lineRule="auto"/>
        <w:ind w:right="0"/>
        <w:jc w:val="both"/>
        <w:outlineLvl w:val="0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V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é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rifier les dates d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’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entr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é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es et de sorties de fonction des comptables, compl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é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 xml:space="preserve">ter le cas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é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ch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é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ant les dates non renseign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é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es et pr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é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ciser le montant des cautionnements.</w:t>
      </w:r>
    </w:p>
    <w:p>
      <w:pPr>
        <w:keepNext w:val="0"/>
        <w:keepLines w:val="0"/>
        <w:pageBreakBefore w:val="0"/>
        <w:widowControl w:val="1"/>
        <w:numPr>
          <w:ilvl w:val="0"/>
          <w:numId w:val="5"/>
        </w:numPr>
        <w:shd w:val="clear" w:color="auto" w:fill="auto"/>
        <w:suppressAutoHyphens w:val="0"/>
        <w:bidi w:val="0"/>
        <w:spacing w:before="120" w:after="120" w:line="240" w:lineRule="auto"/>
        <w:ind w:right="0"/>
        <w:jc w:val="both"/>
        <w:outlineLvl w:val="0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 xml:space="preserve">Transmettre une copie des actes de cautionnement et indiquer, le cas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é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ch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é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ant, les dates de modification des montants.</w:t>
      </w:r>
    </w:p>
    <w:p>
      <w:pPr>
        <w:keepNext w:val="0"/>
        <w:keepLines w:val="0"/>
        <w:pageBreakBefore w:val="0"/>
        <w:widowControl w:val="1"/>
        <w:numPr>
          <w:ilvl w:val="0"/>
          <w:numId w:val="5"/>
        </w:numPr>
        <w:shd w:val="clear" w:color="auto" w:fill="auto"/>
        <w:suppressAutoHyphens w:val="0"/>
        <w:bidi w:val="0"/>
        <w:spacing w:before="120" w:after="120" w:line="240" w:lineRule="auto"/>
        <w:ind w:right="0"/>
        <w:jc w:val="both"/>
        <w:outlineLvl w:val="0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R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é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 xml:space="preserve">serves des comptables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: d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es r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é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 xml:space="preserve">serves ont-elles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é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t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 xml:space="preserve">é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formul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é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es par les comptables successifs sur la gestion de leur pr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é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d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é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cesseur? Dans l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’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affirmative, produire ces r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é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serves ainsi que leur actualisation.</w:t>
      </w:r>
    </w:p>
    <w:p>
      <w:pPr>
        <w:keepNext w:val="0"/>
        <w:keepLines w:val="0"/>
        <w:pageBreakBefore w:val="0"/>
        <w:widowControl w:val="1"/>
        <w:numPr>
          <w:ilvl w:val="0"/>
          <w:numId w:val="5"/>
        </w:numPr>
        <w:shd w:val="clear" w:color="auto" w:fill="auto"/>
        <w:suppressAutoHyphens w:val="0"/>
        <w:bidi w:val="0"/>
        <w:spacing w:before="120" w:after="120" w:line="240" w:lineRule="auto"/>
        <w:ind w:right="0"/>
        <w:jc w:val="both"/>
        <w:outlineLvl w:val="0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R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é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 xml:space="preserve">serves des comptables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: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Adressez les r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é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serves faites par les comptables secondaires lors de leur prise de fonction sur la p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é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 xml:space="preserve">riode 2010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 xml:space="preserve">à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2017.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120" w:after="240" w:line="240" w:lineRule="auto"/>
        <w:ind w:left="0" w:right="0" w:firstLine="709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</w:pPr>
    </w:p>
    <w:p>
      <w:pPr>
        <w:keepNext w:val="1"/>
        <w:keepLines w:val="1"/>
        <w:pageBreakBefore w:val="0"/>
        <w:widowControl w:val="1"/>
        <w:numPr>
          <w:ilvl w:val="0"/>
          <w:numId w:val="6"/>
        </w:numPr>
        <w:shd w:val="clear" w:color="auto" w:fill="auto"/>
        <w:suppressAutoHyphens w:val="0"/>
        <w:bidi w:val="0"/>
        <w:spacing w:before="360" w:after="360" w:line="240" w:lineRule="auto"/>
        <w:ind w:right="0"/>
        <w:jc w:val="both"/>
        <w:outlineLvl w:val="0"/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1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fr-FR"/>
        </w:rPr>
      </w:pP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1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fr-FR"/>
        </w:rPr>
        <w:t>Rapports d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1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fr-FR"/>
        </w:rPr>
        <w:t>’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1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fr-FR"/>
        </w:rPr>
        <w:t>inspection, audit interne, contr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1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fr-FR"/>
        </w:rPr>
        <w:t>ô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1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fr-FR"/>
        </w:rPr>
        <w:t>le interne</w:t>
      </w:r>
    </w:p>
    <w:p>
      <w:pPr>
        <w:keepNext w:val="0"/>
        <w:keepLines w:val="0"/>
        <w:pageBreakBefore w:val="0"/>
        <w:widowControl w:val="1"/>
        <w:numPr>
          <w:ilvl w:val="0"/>
          <w:numId w:val="8"/>
        </w:numPr>
        <w:shd w:val="clear" w:color="auto" w:fill="auto"/>
        <w:suppressAutoHyphens w:val="0"/>
        <w:bidi w:val="0"/>
        <w:spacing w:before="120" w:after="120" w:line="240" w:lineRule="auto"/>
        <w:ind w:right="281"/>
        <w:jc w:val="both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 xml:space="preserve">Fournir une note sur la mise en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œ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uvre des plans d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’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 xml:space="preserve">actions mis en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œ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uvre, cons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é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 xml:space="preserve">cutivement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 xml:space="preserve">à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ces rapports.</w:t>
      </w:r>
    </w:p>
    <w:p>
      <w:pPr>
        <w:keepNext w:val="0"/>
        <w:keepLines w:val="0"/>
        <w:pageBreakBefore w:val="0"/>
        <w:widowControl w:val="1"/>
        <w:numPr>
          <w:ilvl w:val="0"/>
          <w:numId w:val="8"/>
        </w:numPr>
        <w:shd w:val="clear" w:color="auto" w:fill="auto"/>
        <w:suppressAutoHyphens w:val="0"/>
        <w:bidi w:val="0"/>
        <w:spacing w:before="120" w:after="120" w:line="240" w:lineRule="auto"/>
        <w:ind w:right="281"/>
        <w:jc w:val="both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Fournir la liste des audits internes du d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é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partement pour la p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>é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riode 2013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fr-FR"/>
        </w:rPr>
        <w:t xml:space="preserve">à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2017.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3"/>
  </w:abstractNum>
  <w:abstractNum w:abstractNumId="1">
    <w:multiLevelType w:val="hybridMultilevel"/>
    <w:styleLink w:val="Imported Style 3"/>
    <w:lvl w:ilvl="0">
      <w:start w:val="1"/>
      <w:numFmt w:val="upperRoman"/>
      <w:suff w:val="tab"/>
      <w:lvlText w:val="%1.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86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920" w:hanging="8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58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060" w:hanging="12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30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200" w:hanging="16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02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340" w:hanging="21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4"/>
  </w:abstractNum>
  <w:abstractNum w:abstractNumId="3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  <w:tab w:val="left" w:pos="9204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80"/>
          <w:tab w:val="left" w:pos="7788"/>
          <w:tab w:val="left" w:pos="8496"/>
          <w:tab w:val="left" w:pos="9204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6"/>
  </w:abstractNum>
  <w:abstractNum w:abstractNumId="5">
    <w:multiLevelType w:val="hybridMultilevel"/>
    <w:styleLink w:val="Imported Style 6"/>
    <w:lvl w:ilvl="0">
      <w:start w:val="1"/>
      <w:numFmt w:val="bullet"/>
      <w:suff w:val="tab"/>
      <w:lvlText w:val="·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  <w:tab w:val="left" w:pos="9204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80"/>
          <w:tab w:val="left" w:pos="7788"/>
          <w:tab w:val="left" w:pos="8496"/>
          <w:tab w:val="left" w:pos="9204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·"/>
        <w:lvlJc w:val="left"/>
        <w:pPr>
          <w:tabs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714" w:hanging="35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708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434" w:hanging="35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708"/>
            <w:tab w:val="left" w:pos="1416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154" w:hanging="35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left" w:pos="708"/>
            <w:tab w:val="left" w:pos="1416"/>
            <w:tab w:val="left" w:pos="2124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874" w:hanging="35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594" w:hanging="35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314" w:hanging="35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034" w:hanging="35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754" w:hanging="35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7080"/>
            <w:tab w:val="left" w:pos="7788"/>
            <w:tab w:val="left" w:pos="8496"/>
            <w:tab w:val="left" w:pos="9204"/>
          </w:tabs>
          <w:ind w:left="6474" w:hanging="35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startOverride w:val="2"/>
    </w:lvlOverride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numbering" w:styleId="Imported Style 3">
    <w:name w:val="Imported Style 3"/>
    <w:pPr>
      <w:numPr>
        <w:numId w:val="1"/>
      </w:numPr>
    </w:pPr>
  </w:style>
  <w:style w:type="numbering" w:styleId="Imported Style 4">
    <w:name w:val="Imported Style 4"/>
    <w:pPr>
      <w:numPr>
        <w:numId w:val="3"/>
      </w:numPr>
    </w:pPr>
  </w:style>
  <w:style w:type="numbering" w:styleId="Imported Style 6">
    <w:name w:val="Imported Style 6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