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CF9" w:rsidRPr="002A35F5" w:rsidRDefault="000D3779" w:rsidP="000D3779">
      <w:pPr>
        <w:autoSpaceDE w:val="0"/>
        <w:autoSpaceDN w:val="0"/>
        <w:adjustRightInd w:val="0"/>
        <w:spacing w:after="0" w:line="240" w:lineRule="auto"/>
        <w:jc w:val="center"/>
        <w:rPr>
          <w:rFonts w:eastAsia="Times New Roman" w:cs="Arial"/>
          <w:b/>
          <w:bCs/>
          <w:sz w:val="20"/>
          <w:szCs w:val="24"/>
          <w:lang w:eastAsia="fr-FR"/>
        </w:rPr>
      </w:pPr>
      <w:r>
        <w:rPr>
          <w:rFonts w:eastAsia="Times New Roman" w:cs="Arial"/>
          <w:b/>
          <w:bCs/>
          <w:sz w:val="20"/>
          <w:szCs w:val="24"/>
          <w:lang w:eastAsia="fr-FR"/>
        </w:rPr>
        <w:t xml:space="preserve">Acronyme et </w:t>
      </w:r>
      <w:r w:rsidR="00532CF9">
        <w:rPr>
          <w:rFonts w:eastAsia="Times New Roman" w:cs="Arial"/>
          <w:b/>
          <w:bCs/>
          <w:sz w:val="20"/>
          <w:szCs w:val="24"/>
          <w:lang w:eastAsia="fr-FR"/>
        </w:rPr>
        <w:t>Glossaire projet ma-Cantine</w:t>
      </w:r>
    </w:p>
    <w:p w:rsidR="00532CF9" w:rsidRPr="002A35F5" w:rsidRDefault="00532CF9" w:rsidP="00C07E22">
      <w:pPr>
        <w:autoSpaceDE w:val="0"/>
        <w:autoSpaceDN w:val="0"/>
        <w:adjustRightInd w:val="0"/>
        <w:spacing w:after="0" w:line="240" w:lineRule="auto"/>
        <w:jc w:val="both"/>
        <w:rPr>
          <w:rFonts w:eastAsia="Times New Roman" w:cs="Arial"/>
          <w:b/>
          <w:bCs/>
          <w:sz w:val="20"/>
          <w:szCs w:val="24"/>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470"/>
        <w:gridCol w:w="4584"/>
      </w:tblGrid>
      <w:tr w:rsidR="00021410" w:rsidRPr="002A35F5" w:rsidTr="003C0C1F">
        <w:trPr>
          <w:trHeight w:val="489"/>
        </w:trPr>
        <w:tc>
          <w:tcPr>
            <w:tcW w:w="1008" w:type="dxa"/>
            <w:shd w:val="clear" w:color="auto" w:fill="auto"/>
            <w:noWrap/>
          </w:tcPr>
          <w:p w:rsidR="00021410" w:rsidRPr="002A35F5" w:rsidRDefault="00021410" w:rsidP="00C07E22">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MAA</w:t>
            </w:r>
          </w:p>
        </w:tc>
        <w:tc>
          <w:tcPr>
            <w:tcW w:w="3470" w:type="dxa"/>
            <w:shd w:val="clear" w:color="auto" w:fill="auto"/>
          </w:tcPr>
          <w:p w:rsidR="00021410" w:rsidRDefault="00021410" w:rsidP="00021410">
            <w:pPr>
              <w:autoSpaceDE w:val="0"/>
              <w:autoSpaceDN w:val="0"/>
              <w:adjustRightInd w:val="0"/>
              <w:spacing w:after="0" w:line="240" w:lineRule="auto"/>
              <w:jc w:val="both"/>
              <w:rPr>
                <w:rFonts w:eastAsia="Times New Roman" w:cs="Arial"/>
                <w:sz w:val="20"/>
                <w:szCs w:val="24"/>
                <w:lang w:val="it-IT" w:eastAsia="fr-FR"/>
              </w:rPr>
            </w:pPr>
            <w:r>
              <w:rPr>
                <w:rFonts w:eastAsia="Times New Roman" w:cs="Arial"/>
                <w:sz w:val="20"/>
                <w:szCs w:val="24"/>
                <w:lang w:val="it-IT" w:eastAsia="fr-FR"/>
              </w:rPr>
              <w:t>Ministere de l’Agriculture de l’Alimentation</w:t>
            </w:r>
          </w:p>
        </w:tc>
        <w:tc>
          <w:tcPr>
            <w:tcW w:w="4584" w:type="dxa"/>
          </w:tcPr>
          <w:p w:rsidR="00021410" w:rsidRDefault="00021410" w:rsidP="00532CF9">
            <w:pPr>
              <w:autoSpaceDE w:val="0"/>
              <w:autoSpaceDN w:val="0"/>
              <w:adjustRightInd w:val="0"/>
              <w:spacing w:after="0" w:line="240" w:lineRule="auto"/>
              <w:jc w:val="both"/>
              <w:rPr>
                <w:rFonts w:eastAsia="Times New Roman" w:cs="Arial"/>
                <w:sz w:val="20"/>
                <w:szCs w:val="24"/>
                <w:lang w:val="it-IT" w:eastAsia="fr-FR"/>
              </w:rPr>
            </w:pPr>
          </w:p>
        </w:tc>
      </w:tr>
      <w:tr w:rsidR="00021410" w:rsidRPr="002A35F5" w:rsidTr="003C0C1F">
        <w:trPr>
          <w:trHeight w:val="1296"/>
        </w:trPr>
        <w:tc>
          <w:tcPr>
            <w:tcW w:w="1008" w:type="dxa"/>
            <w:shd w:val="clear" w:color="auto" w:fill="auto"/>
            <w:noWrap/>
            <w:hideMark/>
          </w:tcPr>
          <w:p w:rsidR="00021410" w:rsidRPr="002A35F5" w:rsidRDefault="00021410" w:rsidP="00C07E22">
            <w:pPr>
              <w:autoSpaceDE w:val="0"/>
              <w:autoSpaceDN w:val="0"/>
              <w:adjustRightInd w:val="0"/>
              <w:spacing w:after="0" w:line="240" w:lineRule="auto"/>
              <w:jc w:val="both"/>
              <w:rPr>
                <w:rFonts w:eastAsia="Times New Roman" w:cs="Arial"/>
                <w:b/>
                <w:bCs/>
                <w:sz w:val="20"/>
                <w:szCs w:val="24"/>
                <w:lang w:eastAsia="fr-FR"/>
              </w:rPr>
            </w:pPr>
            <w:r w:rsidRPr="002A35F5">
              <w:rPr>
                <w:rFonts w:eastAsia="Times New Roman" w:cs="Arial"/>
                <w:b/>
                <w:bCs/>
                <w:sz w:val="20"/>
                <w:szCs w:val="24"/>
                <w:lang w:eastAsia="fr-FR"/>
              </w:rPr>
              <w:t>DRAAF</w:t>
            </w:r>
          </w:p>
        </w:tc>
        <w:tc>
          <w:tcPr>
            <w:tcW w:w="3470" w:type="dxa"/>
            <w:shd w:val="clear" w:color="auto" w:fill="auto"/>
            <w:hideMark/>
          </w:tcPr>
          <w:p w:rsidR="00021410" w:rsidRPr="002A35F5" w:rsidRDefault="00021410" w:rsidP="00532CF9">
            <w:pPr>
              <w:autoSpaceDE w:val="0"/>
              <w:autoSpaceDN w:val="0"/>
              <w:adjustRightInd w:val="0"/>
              <w:spacing w:after="0" w:line="240" w:lineRule="auto"/>
              <w:jc w:val="both"/>
              <w:rPr>
                <w:rFonts w:eastAsia="Times New Roman" w:cs="Arial"/>
                <w:sz w:val="20"/>
                <w:szCs w:val="24"/>
                <w:lang w:val="it-IT" w:eastAsia="fr-FR"/>
              </w:rPr>
            </w:pPr>
            <w:r>
              <w:rPr>
                <w:rFonts w:eastAsia="Times New Roman" w:cs="Arial"/>
                <w:sz w:val="20"/>
                <w:szCs w:val="24"/>
                <w:lang w:val="it-IT" w:eastAsia="fr-FR"/>
              </w:rPr>
              <w:t>Direction Régionale de l’Alimentation Agriculture et la Foret</w:t>
            </w:r>
          </w:p>
        </w:tc>
        <w:tc>
          <w:tcPr>
            <w:tcW w:w="4584" w:type="dxa"/>
          </w:tcPr>
          <w:p w:rsidR="00021410" w:rsidRDefault="00021410" w:rsidP="00532CF9">
            <w:pPr>
              <w:autoSpaceDE w:val="0"/>
              <w:autoSpaceDN w:val="0"/>
              <w:adjustRightInd w:val="0"/>
              <w:spacing w:after="0" w:line="240" w:lineRule="auto"/>
              <w:jc w:val="both"/>
              <w:rPr>
                <w:rFonts w:eastAsia="Times New Roman" w:cs="Arial"/>
                <w:sz w:val="20"/>
                <w:szCs w:val="24"/>
                <w:lang w:val="it-IT" w:eastAsia="fr-FR"/>
              </w:rPr>
            </w:pPr>
            <w:r>
              <w:rPr>
                <w:rFonts w:eastAsia="Times New Roman" w:cs="Arial"/>
                <w:sz w:val="20"/>
                <w:szCs w:val="24"/>
                <w:lang w:val="it-IT" w:eastAsia="fr-FR"/>
              </w:rPr>
              <w:t>Le MAA est constitué d’une administration cnetrale (plusieurs directions génarales) et de services déconcentrés en région, les DRAAF et en départements, les DDT (M) et les DDPP (CS) ratachées aux préfectures départementales</w:t>
            </w:r>
          </w:p>
        </w:tc>
      </w:tr>
      <w:tr w:rsidR="00021410" w:rsidRPr="002A35F5" w:rsidTr="003C0C1F">
        <w:trPr>
          <w:trHeight w:val="541"/>
        </w:trPr>
        <w:tc>
          <w:tcPr>
            <w:tcW w:w="1008" w:type="dxa"/>
            <w:shd w:val="clear" w:color="auto" w:fill="auto"/>
            <w:noWrap/>
          </w:tcPr>
          <w:p w:rsidR="00021410" w:rsidRPr="002A35F5" w:rsidRDefault="00021410" w:rsidP="00C07E22">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DDT(M)</w:t>
            </w:r>
          </w:p>
        </w:tc>
        <w:tc>
          <w:tcPr>
            <w:tcW w:w="3470" w:type="dxa"/>
            <w:shd w:val="clear" w:color="auto" w:fill="auto"/>
          </w:tcPr>
          <w:p w:rsidR="00021410" w:rsidRDefault="00441E60" w:rsidP="00532CF9">
            <w:pPr>
              <w:autoSpaceDE w:val="0"/>
              <w:autoSpaceDN w:val="0"/>
              <w:adjustRightInd w:val="0"/>
              <w:spacing w:after="0" w:line="240" w:lineRule="auto"/>
              <w:jc w:val="both"/>
              <w:rPr>
                <w:rFonts w:eastAsia="Times New Roman" w:cs="Arial"/>
                <w:sz w:val="20"/>
                <w:szCs w:val="24"/>
                <w:lang w:val="it-IT" w:eastAsia="fr-FR"/>
              </w:rPr>
            </w:pPr>
            <w:r>
              <w:rPr>
                <w:rFonts w:eastAsia="Times New Roman" w:cs="Arial"/>
                <w:sz w:val="20"/>
                <w:szCs w:val="24"/>
                <w:lang w:val="it-IT" w:eastAsia="fr-FR"/>
              </w:rPr>
              <w:t>Direction Départementale des territoires (et de la Mer)</w:t>
            </w:r>
          </w:p>
        </w:tc>
        <w:tc>
          <w:tcPr>
            <w:tcW w:w="4584" w:type="dxa"/>
          </w:tcPr>
          <w:p w:rsidR="00021410" w:rsidRDefault="00021410" w:rsidP="00532CF9">
            <w:pPr>
              <w:autoSpaceDE w:val="0"/>
              <w:autoSpaceDN w:val="0"/>
              <w:adjustRightInd w:val="0"/>
              <w:spacing w:after="0" w:line="240" w:lineRule="auto"/>
              <w:jc w:val="both"/>
              <w:rPr>
                <w:rFonts w:eastAsia="Times New Roman" w:cs="Arial"/>
                <w:sz w:val="20"/>
                <w:szCs w:val="24"/>
                <w:lang w:val="it-IT" w:eastAsia="fr-FR"/>
              </w:rPr>
            </w:pPr>
          </w:p>
        </w:tc>
      </w:tr>
      <w:tr w:rsidR="00441E60" w:rsidRPr="002A35F5" w:rsidTr="003C0C1F">
        <w:trPr>
          <w:trHeight w:val="550"/>
        </w:trPr>
        <w:tc>
          <w:tcPr>
            <w:tcW w:w="1008" w:type="dxa"/>
            <w:shd w:val="clear" w:color="auto" w:fill="auto"/>
            <w:noWrap/>
          </w:tcPr>
          <w:p w:rsidR="00441E60" w:rsidRDefault="00441E60" w:rsidP="00C07E22">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DDPP(CS)</w:t>
            </w:r>
          </w:p>
        </w:tc>
        <w:tc>
          <w:tcPr>
            <w:tcW w:w="3470" w:type="dxa"/>
            <w:shd w:val="clear" w:color="auto" w:fill="auto"/>
          </w:tcPr>
          <w:p w:rsidR="00441E60" w:rsidRDefault="00441E60" w:rsidP="00532CF9">
            <w:pPr>
              <w:autoSpaceDE w:val="0"/>
              <w:autoSpaceDN w:val="0"/>
              <w:adjustRightInd w:val="0"/>
              <w:spacing w:after="0" w:line="240" w:lineRule="auto"/>
              <w:jc w:val="both"/>
              <w:rPr>
                <w:rFonts w:eastAsia="Times New Roman" w:cs="Arial"/>
                <w:sz w:val="20"/>
                <w:szCs w:val="24"/>
                <w:lang w:val="it-IT" w:eastAsia="fr-FR"/>
              </w:rPr>
            </w:pPr>
            <w:r>
              <w:rPr>
                <w:rFonts w:eastAsia="Times New Roman" w:cs="Arial"/>
                <w:sz w:val="20"/>
                <w:szCs w:val="24"/>
                <w:lang w:val="it-IT" w:eastAsia="fr-FR"/>
              </w:rPr>
              <w:t>Direction Départementale de Protection des Populations (Cohésion Sociale)</w:t>
            </w:r>
          </w:p>
        </w:tc>
        <w:tc>
          <w:tcPr>
            <w:tcW w:w="4584" w:type="dxa"/>
          </w:tcPr>
          <w:p w:rsidR="00441E60" w:rsidRDefault="00441E60" w:rsidP="00532CF9">
            <w:pPr>
              <w:autoSpaceDE w:val="0"/>
              <w:autoSpaceDN w:val="0"/>
              <w:adjustRightInd w:val="0"/>
              <w:spacing w:after="0" w:line="240" w:lineRule="auto"/>
              <w:jc w:val="both"/>
              <w:rPr>
                <w:rFonts w:eastAsia="Times New Roman" w:cs="Arial"/>
                <w:sz w:val="20"/>
                <w:szCs w:val="24"/>
                <w:lang w:val="it-IT" w:eastAsia="fr-FR"/>
              </w:rPr>
            </w:pPr>
          </w:p>
        </w:tc>
      </w:tr>
      <w:tr w:rsidR="00021410" w:rsidRPr="002A35F5" w:rsidTr="003C0C1F">
        <w:trPr>
          <w:trHeight w:val="748"/>
        </w:trPr>
        <w:tc>
          <w:tcPr>
            <w:tcW w:w="1008" w:type="dxa"/>
            <w:shd w:val="clear" w:color="auto" w:fill="auto"/>
            <w:noWrap/>
          </w:tcPr>
          <w:p w:rsidR="00021410" w:rsidRPr="002A35F5" w:rsidRDefault="00021410" w:rsidP="009950EE">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CNRC</w:t>
            </w:r>
          </w:p>
        </w:tc>
        <w:tc>
          <w:tcPr>
            <w:tcW w:w="3470" w:type="dxa"/>
            <w:shd w:val="clear" w:color="auto" w:fill="auto"/>
          </w:tcPr>
          <w:p w:rsidR="00021410" w:rsidRPr="007B22E8" w:rsidRDefault="00021410" w:rsidP="00C07E22">
            <w:pPr>
              <w:autoSpaceDE w:val="0"/>
              <w:autoSpaceDN w:val="0"/>
              <w:adjustRightInd w:val="0"/>
              <w:spacing w:after="0" w:line="240" w:lineRule="auto"/>
              <w:jc w:val="both"/>
              <w:rPr>
                <w:rFonts w:eastAsia="Times New Roman" w:cs="Arial"/>
                <w:bCs/>
                <w:sz w:val="20"/>
                <w:szCs w:val="20"/>
                <w:lang w:eastAsia="fr-FR"/>
              </w:rPr>
            </w:pPr>
            <w:r w:rsidRPr="007B22E8">
              <w:rPr>
                <w:rFonts w:eastAsia="Times New Roman" w:cs="Arial"/>
                <w:bCs/>
                <w:sz w:val="20"/>
                <w:szCs w:val="20"/>
                <w:lang w:eastAsia="fr-FR"/>
              </w:rPr>
              <w:t>Conseil National de la Restauration Collective</w:t>
            </w:r>
          </w:p>
        </w:tc>
        <w:tc>
          <w:tcPr>
            <w:tcW w:w="4584" w:type="dxa"/>
          </w:tcPr>
          <w:p w:rsidR="00021410" w:rsidRDefault="00021410" w:rsidP="00C07E22">
            <w:pPr>
              <w:autoSpaceDE w:val="0"/>
              <w:autoSpaceDN w:val="0"/>
              <w:adjustRightInd w:val="0"/>
              <w:spacing w:after="0" w:line="240" w:lineRule="auto"/>
              <w:jc w:val="both"/>
              <w:rPr>
                <w:rFonts w:eastAsia="Times New Roman" w:cs="Arial"/>
                <w:b/>
                <w:bCs/>
                <w:sz w:val="20"/>
                <w:szCs w:val="24"/>
                <w:lang w:eastAsia="fr-FR"/>
              </w:rPr>
            </w:pPr>
          </w:p>
        </w:tc>
      </w:tr>
      <w:tr w:rsidR="00021410" w:rsidRPr="002A35F5" w:rsidTr="003C0C1F">
        <w:trPr>
          <w:trHeight w:val="748"/>
        </w:trPr>
        <w:tc>
          <w:tcPr>
            <w:tcW w:w="1008" w:type="dxa"/>
            <w:shd w:val="clear" w:color="auto" w:fill="auto"/>
            <w:noWrap/>
          </w:tcPr>
          <w:p w:rsidR="00021410" w:rsidRPr="002A35F5" w:rsidRDefault="00021410" w:rsidP="009950EE">
            <w:pPr>
              <w:autoSpaceDE w:val="0"/>
              <w:autoSpaceDN w:val="0"/>
              <w:adjustRightInd w:val="0"/>
              <w:spacing w:after="0" w:line="240" w:lineRule="auto"/>
              <w:jc w:val="both"/>
              <w:rPr>
                <w:rFonts w:eastAsia="Times New Roman" w:cs="Arial"/>
                <w:b/>
                <w:bCs/>
                <w:sz w:val="20"/>
                <w:szCs w:val="24"/>
                <w:lang w:eastAsia="fr-FR"/>
              </w:rPr>
            </w:pPr>
            <w:r w:rsidRPr="002A35F5">
              <w:rPr>
                <w:rFonts w:eastAsia="Times New Roman" w:cs="Arial"/>
                <w:b/>
                <w:bCs/>
                <w:sz w:val="20"/>
                <w:szCs w:val="24"/>
                <w:lang w:eastAsia="fr-FR"/>
              </w:rPr>
              <w:t>M</w:t>
            </w:r>
            <w:r>
              <w:rPr>
                <w:rFonts w:eastAsia="Times New Roman" w:cs="Arial"/>
                <w:b/>
                <w:bCs/>
                <w:sz w:val="20"/>
                <w:szCs w:val="24"/>
                <w:lang w:eastAsia="fr-FR"/>
              </w:rPr>
              <w:t>RR</w:t>
            </w:r>
          </w:p>
        </w:tc>
        <w:tc>
          <w:tcPr>
            <w:tcW w:w="3470" w:type="dxa"/>
            <w:shd w:val="clear" w:color="auto" w:fill="auto"/>
          </w:tcPr>
          <w:p w:rsidR="00021410" w:rsidRPr="007B22E8" w:rsidRDefault="00021410" w:rsidP="00C07E22">
            <w:pPr>
              <w:autoSpaceDE w:val="0"/>
              <w:autoSpaceDN w:val="0"/>
              <w:adjustRightInd w:val="0"/>
              <w:spacing w:after="0" w:line="240" w:lineRule="auto"/>
              <w:jc w:val="both"/>
              <w:rPr>
                <w:rFonts w:eastAsia="Times New Roman" w:cs="Arial"/>
                <w:sz w:val="20"/>
                <w:szCs w:val="20"/>
                <w:lang w:eastAsia="fr-FR"/>
              </w:rPr>
            </w:pPr>
            <w:r w:rsidRPr="007B22E8">
              <w:rPr>
                <w:rFonts w:eastAsia="Times New Roman" w:cs="Arial"/>
                <w:bCs/>
                <w:sz w:val="20"/>
                <w:szCs w:val="20"/>
                <w:lang w:eastAsia="fr-FR"/>
              </w:rPr>
              <w:t xml:space="preserve">Démarche Mon restau responsable (Mise en place par FNH et </w:t>
            </w:r>
            <w:proofErr w:type="spellStart"/>
            <w:r w:rsidRPr="007B22E8">
              <w:rPr>
                <w:rFonts w:eastAsia="Times New Roman" w:cs="Arial"/>
                <w:bCs/>
                <w:sz w:val="20"/>
                <w:szCs w:val="20"/>
                <w:lang w:eastAsia="fr-FR"/>
              </w:rPr>
              <w:t>Restau’Co</w:t>
            </w:r>
            <w:proofErr w:type="spellEnd"/>
            <w:r w:rsidRPr="007B22E8">
              <w:rPr>
                <w:rFonts w:eastAsia="Times New Roman" w:cs="Arial"/>
                <w:bCs/>
                <w:sz w:val="20"/>
                <w:szCs w:val="20"/>
                <w:lang w:eastAsia="fr-FR"/>
              </w:rPr>
              <w:t>)</w:t>
            </w:r>
          </w:p>
        </w:tc>
        <w:tc>
          <w:tcPr>
            <w:tcW w:w="4584" w:type="dxa"/>
          </w:tcPr>
          <w:p w:rsidR="00021410" w:rsidRDefault="00021410" w:rsidP="00C07E22">
            <w:pPr>
              <w:autoSpaceDE w:val="0"/>
              <w:autoSpaceDN w:val="0"/>
              <w:adjustRightInd w:val="0"/>
              <w:spacing w:after="0" w:line="240" w:lineRule="auto"/>
              <w:jc w:val="both"/>
              <w:rPr>
                <w:rFonts w:eastAsia="Times New Roman" w:cs="Arial"/>
                <w:b/>
                <w:bCs/>
                <w:sz w:val="20"/>
                <w:szCs w:val="24"/>
                <w:lang w:eastAsia="fr-FR"/>
              </w:rPr>
            </w:pPr>
          </w:p>
        </w:tc>
      </w:tr>
      <w:tr w:rsidR="00021410" w:rsidRPr="002A35F5" w:rsidTr="003C0C1F">
        <w:trPr>
          <w:trHeight w:val="748"/>
        </w:trPr>
        <w:tc>
          <w:tcPr>
            <w:tcW w:w="1008" w:type="dxa"/>
            <w:shd w:val="clear" w:color="auto" w:fill="auto"/>
            <w:noWrap/>
          </w:tcPr>
          <w:p w:rsidR="00021410" w:rsidRPr="002A35F5" w:rsidRDefault="00021410" w:rsidP="009950EE">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FNH</w:t>
            </w:r>
          </w:p>
        </w:tc>
        <w:tc>
          <w:tcPr>
            <w:tcW w:w="3470" w:type="dxa"/>
            <w:shd w:val="clear" w:color="auto" w:fill="auto"/>
          </w:tcPr>
          <w:p w:rsidR="00021410" w:rsidRPr="007B22E8" w:rsidRDefault="00021410" w:rsidP="009950EE">
            <w:pPr>
              <w:autoSpaceDE w:val="0"/>
              <w:autoSpaceDN w:val="0"/>
              <w:adjustRightInd w:val="0"/>
              <w:spacing w:after="0" w:line="240" w:lineRule="auto"/>
              <w:jc w:val="both"/>
              <w:rPr>
                <w:rFonts w:eastAsia="Times New Roman" w:cs="Arial"/>
                <w:bCs/>
                <w:sz w:val="20"/>
                <w:szCs w:val="20"/>
                <w:lang w:eastAsia="fr-FR"/>
              </w:rPr>
            </w:pPr>
            <w:r w:rsidRPr="007B22E8">
              <w:rPr>
                <w:rFonts w:eastAsia="Times New Roman" w:cs="Arial"/>
                <w:bCs/>
                <w:sz w:val="20"/>
                <w:szCs w:val="20"/>
                <w:lang w:eastAsia="fr-FR"/>
              </w:rPr>
              <w:t>Fondation Nicolas Hulot (ou Fondation pour la Nature et Homme)</w:t>
            </w:r>
          </w:p>
        </w:tc>
        <w:tc>
          <w:tcPr>
            <w:tcW w:w="4584" w:type="dxa"/>
          </w:tcPr>
          <w:p w:rsidR="00021410" w:rsidRDefault="00021410" w:rsidP="009950EE">
            <w:pPr>
              <w:autoSpaceDE w:val="0"/>
              <w:autoSpaceDN w:val="0"/>
              <w:adjustRightInd w:val="0"/>
              <w:spacing w:after="0" w:line="240" w:lineRule="auto"/>
              <w:jc w:val="both"/>
              <w:rPr>
                <w:rFonts w:eastAsia="Times New Roman" w:cs="Arial"/>
                <w:b/>
                <w:bCs/>
                <w:sz w:val="20"/>
                <w:szCs w:val="24"/>
                <w:lang w:eastAsia="fr-FR"/>
              </w:rPr>
            </w:pPr>
          </w:p>
        </w:tc>
      </w:tr>
      <w:tr w:rsidR="0041169E" w:rsidRPr="002A35F5" w:rsidTr="003C0C1F">
        <w:trPr>
          <w:trHeight w:val="748"/>
        </w:trPr>
        <w:tc>
          <w:tcPr>
            <w:tcW w:w="1008" w:type="dxa"/>
            <w:shd w:val="clear" w:color="auto" w:fill="auto"/>
            <w:noWrap/>
          </w:tcPr>
          <w:p w:rsidR="0041169E" w:rsidRDefault="0041169E" w:rsidP="009950EE">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EGA</w:t>
            </w:r>
          </w:p>
        </w:tc>
        <w:tc>
          <w:tcPr>
            <w:tcW w:w="3470" w:type="dxa"/>
            <w:shd w:val="clear" w:color="auto" w:fill="auto"/>
          </w:tcPr>
          <w:p w:rsidR="0041169E" w:rsidRPr="007B22E8" w:rsidRDefault="007B22E8" w:rsidP="009950EE">
            <w:pPr>
              <w:autoSpaceDE w:val="0"/>
              <w:autoSpaceDN w:val="0"/>
              <w:adjustRightInd w:val="0"/>
              <w:spacing w:after="0" w:line="240" w:lineRule="auto"/>
              <w:jc w:val="both"/>
              <w:rPr>
                <w:rFonts w:eastAsia="Times New Roman" w:cs="Arial"/>
                <w:bCs/>
                <w:sz w:val="20"/>
                <w:szCs w:val="20"/>
                <w:lang w:eastAsia="fr-FR"/>
              </w:rPr>
            </w:pPr>
            <w:hyperlink r:id="rId5" w:history="1">
              <w:r w:rsidR="0041169E" w:rsidRPr="007B22E8">
                <w:rPr>
                  <w:rStyle w:val="Lienhypertexte"/>
                  <w:rFonts w:eastAsia="Times New Roman" w:cs="Arial"/>
                  <w:bCs/>
                  <w:sz w:val="20"/>
                  <w:szCs w:val="20"/>
                  <w:lang w:eastAsia="fr-FR"/>
                </w:rPr>
                <w:t>Etats Généraux de l’Alimentation</w:t>
              </w:r>
            </w:hyperlink>
          </w:p>
        </w:tc>
        <w:tc>
          <w:tcPr>
            <w:tcW w:w="4584" w:type="dxa"/>
          </w:tcPr>
          <w:p w:rsidR="0041169E" w:rsidRDefault="003516BA" w:rsidP="0048596F">
            <w:pPr>
              <w:autoSpaceDE w:val="0"/>
              <w:autoSpaceDN w:val="0"/>
              <w:adjustRightInd w:val="0"/>
              <w:spacing w:after="0" w:line="240" w:lineRule="auto"/>
              <w:jc w:val="both"/>
              <w:rPr>
                <w:rFonts w:eastAsia="Times New Roman" w:cs="Arial"/>
                <w:b/>
                <w:bCs/>
                <w:sz w:val="20"/>
                <w:szCs w:val="24"/>
                <w:lang w:eastAsia="fr-FR"/>
              </w:rPr>
            </w:pPr>
            <w:r>
              <w:t xml:space="preserve">Lancés le 20 juillet 2017, </w:t>
            </w:r>
            <w:r w:rsidR="0048596F">
              <w:t xml:space="preserve">les EGA </w:t>
            </w:r>
            <w:r>
              <w:t>ont</w:t>
            </w:r>
            <w:r w:rsidR="0048596F">
              <w:t xml:space="preserve"> des </w:t>
            </w:r>
            <w:r>
              <w:t>temps de réflexion partagée et de construction de solutions nouvelles</w:t>
            </w:r>
            <w:r w:rsidR="0048596F">
              <w:t xml:space="preserve"> sur l’alimentation</w:t>
            </w:r>
            <w:r>
              <w:t xml:space="preserve">. </w:t>
            </w:r>
            <w:r w:rsidR="0048596F">
              <w:t>Ils ont abouti à</w:t>
            </w:r>
            <w:r>
              <w:t xml:space="preserve"> une feuille de route nationale</w:t>
            </w:r>
            <w:r w:rsidR="0048596F">
              <w:t xml:space="preserve"> interministérielle et à la loi </w:t>
            </w:r>
            <w:proofErr w:type="spellStart"/>
            <w:r w:rsidR="0048596F">
              <w:t>Egalim</w:t>
            </w:r>
            <w:proofErr w:type="spellEnd"/>
            <w:r w:rsidR="0097763B">
              <w:t xml:space="preserve"> notamment</w:t>
            </w:r>
            <w:r>
              <w:t>.</w:t>
            </w:r>
          </w:p>
        </w:tc>
      </w:tr>
      <w:tr w:rsidR="00B648DE" w:rsidRPr="002A35F5" w:rsidTr="003C0C1F">
        <w:trPr>
          <w:trHeight w:val="748"/>
        </w:trPr>
        <w:tc>
          <w:tcPr>
            <w:tcW w:w="1008" w:type="dxa"/>
            <w:shd w:val="clear" w:color="auto" w:fill="auto"/>
            <w:noWrap/>
          </w:tcPr>
          <w:p w:rsidR="00B648DE" w:rsidRDefault="00B648DE" w:rsidP="009950EE">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SRC</w:t>
            </w:r>
          </w:p>
        </w:tc>
        <w:tc>
          <w:tcPr>
            <w:tcW w:w="3470" w:type="dxa"/>
            <w:shd w:val="clear" w:color="auto" w:fill="auto"/>
          </w:tcPr>
          <w:p w:rsidR="00B648DE" w:rsidRPr="007B22E8" w:rsidRDefault="00B648DE" w:rsidP="00B648DE">
            <w:pPr>
              <w:autoSpaceDE w:val="0"/>
              <w:autoSpaceDN w:val="0"/>
              <w:adjustRightInd w:val="0"/>
              <w:spacing w:after="0" w:line="240" w:lineRule="auto"/>
              <w:jc w:val="both"/>
              <w:rPr>
                <w:sz w:val="20"/>
                <w:szCs w:val="20"/>
              </w:rPr>
            </w:pPr>
            <w:r w:rsidRPr="007B22E8">
              <w:rPr>
                <w:sz w:val="20"/>
                <w:szCs w:val="20"/>
              </w:rPr>
              <w:t xml:space="preserve">Sociétés de Restauration Collective </w:t>
            </w:r>
          </w:p>
        </w:tc>
        <w:tc>
          <w:tcPr>
            <w:tcW w:w="4584" w:type="dxa"/>
          </w:tcPr>
          <w:p w:rsidR="00B648DE" w:rsidRDefault="00B648DE" w:rsidP="00B648DE">
            <w:pPr>
              <w:autoSpaceDE w:val="0"/>
              <w:autoSpaceDN w:val="0"/>
              <w:adjustRightInd w:val="0"/>
              <w:spacing w:after="0" w:line="240" w:lineRule="auto"/>
              <w:jc w:val="both"/>
            </w:pPr>
            <w:r>
              <w:t xml:space="preserve">Ce sont des sociétés privées. Les majeures sont </w:t>
            </w:r>
            <w:proofErr w:type="spellStart"/>
            <w:r>
              <w:t>Elior</w:t>
            </w:r>
            <w:proofErr w:type="spellEnd"/>
            <w:r>
              <w:t xml:space="preserve">, Sodexo, </w:t>
            </w:r>
            <w:proofErr w:type="spellStart"/>
            <w:r>
              <w:t>Compass</w:t>
            </w:r>
            <w:proofErr w:type="spellEnd"/>
          </w:p>
        </w:tc>
      </w:tr>
    </w:tbl>
    <w:p w:rsidR="00944D55" w:rsidRDefault="00944D55"/>
    <w:p w:rsidR="002D4986" w:rsidRPr="0002155B" w:rsidRDefault="002D4986">
      <w:pPr>
        <w:rPr>
          <w:b/>
          <w:u w:val="single"/>
        </w:rPr>
      </w:pPr>
      <w:r w:rsidRPr="0002155B">
        <w:rPr>
          <w:b/>
          <w:u w:val="single"/>
        </w:rPr>
        <w:t>Partenaires</w:t>
      </w:r>
      <w:r w:rsidR="0002155B">
        <w:rPr>
          <w:b/>
          <w:u w:val="single"/>
        </w:rPr>
        <w:t xml:space="preserve"> et acteurs de la restauration collective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7671"/>
      </w:tblGrid>
      <w:tr w:rsidR="002D4986" w:rsidRPr="002A35F5" w:rsidTr="007B22E8">
        <w:trPr>
          <w:trHeight w:val="748"/>
        </w:trPr>
        <w:tc>
          <w:tcPr>
            <w:tcW w:w="1391" w:type="dxa"/>
            <w:shd w:val="clear" w:color="auto" w:fill="auto"/>
            <w:noWrap/>
          </w:tcPr>
          <w:p w:rsidR="002D4986" w:rsidRPr="002A35F5" w:rsidRDefault="009950EE" w:rsidP="00C07E22">
            <w:pPr>
              <w:autoSpaceDE w:val="0"/>
              <w:autoSpaceDN w:val="0"/>
              <w:adjustRightInd w:val="0"/>
              <w:spacing w:after="0" w:line="240" w:lineRule="auto"/>
              <w:jc w:val="both"/>
              <w:rPr>
                <w:rFonts w:eastAsia="Times New Roman" w:cs="Arial"/>
                <w:b/>
                <w:bCs/>
                <w:sz w:val="20"/>
                <w:szCs w:val="24"/>
                <w:lang w:eastAsia="fr-FR"/>
              </w:rPr>
            </w:pPr>
            <w:proofErr w:type="spellStart"/>
            <w:r>
              <w:rPr>
                <w:rFonts w:eastAsia="Times New Roman" w:cs="Arial"/>
                <w:b/>
                <w:bCs/>
                <w:sz w:val="20"/>
                <w:szCs w:val="24"/>
                <w:lang w:eastAsia="fr-FR"/>
              </w:rPr>
              <w:t>Restau’Co</w:t>
            </w:r>
            <w:proofErr w:type="spellEnd"/>
          </w:p>
        </w:tc>
        <w:tc>
          <w:tcPr>
            <w:tcW w:w="7671" w:type="dxa"/>
            <w:shd w:val="clear" w:color="auto" w:fill="auto"/>
          </w:tcPr>
          <w:p w:rsidR="002D4986" w:rsidRPr="002A35F5" w:rsidRDefault="0081647E" w:rsidP="0048596F">
            <w:pPr>
              <w:autoSpaceDE w:val="0"/>
              <w:autoSpaceDN w:val="0"/>
              <w:adjustRightInd w:val="0"/>
              <w:spacing w:after="0" w:line="240" w:lineRule="auto"/>
              <w:jc w:val="both"/>
              <w:rPr>
                <w:rFonts w:eastAsia="Times New Roman" w:cs="Arial"/>
                <w:sz w:val="20"/>
                <w:szCs w:val="24"/>
                <w:lang w:eastAsia="fr-FR"/>
              </w:rPr>
            </w:pPr>
            <w:r>
              <w:rPr>
                <w:rFonts w:eastAsia="Times New Roman" w:cs="Arial"/>
                <w:sz w:val="20"/>
                <w:szCs w:val="24"/>
                <w:lang w:eastAsia="fr-FR"/>
              </w:rPr>
              <w:t xml:space="preserve">Association </w:t>
            </w:r>
            <w:r w:rsidR="0048596F">
              <w:rPr>
                <w:rFonts w:eastAsia="Times New Roman" w:cs="Arial"/>
                <w:sz w:val="20"/>
                <w:szCs w:val="24"/>
                <w:lang w:eastAsia="fr-FR"/>
              </w:rPr>
              <w:t>formant</w:t>
            </w:r>
            <w:r w:rsidR="0048596F" w:rsidRPr="0048596F">
              <w:rPr>
                <w:rFonts w:eastAsia="Times New Roman" w:cs="Arial"/>
                <w:sz w:val="20"/>
                <w:szCs w:val="24"/>
                <w:lang w:eastAsia="fr-FR"/>
              </w:rPr>
              <w:t xml:space="preserve"> un réseau de 12 000 adhérents représentatif de l’ensemble de la restauration collective </w:t>
            </w:r>
            <w:r w:rsidR="0048596F" w:rsidRPr="0048596F">
              <w:rPr>
                <w:rFonts w:eastAsia="Times New Roman" w:cs="Arial"/>
                <w:b/>
                <w:sz w:val="20"/>
                <w:szCs w:val="24"/>
                <w:lang w:eastAsia="fr-FR"/>
              </w:rPr>
              <w:t>en gestion directe</w:t>
            </w:r>
            <w:r w:rsidR="0048596F" w:rsidRPr="0048596F">
              <w:rPr>
                <w:rFonts w:eastAsia="Times New Roman" w:cs="Arial"/>
                <w:sz w:val="20"/>
                <w:szCs w:val="24"/>
                <w:lang w:eastAsia="fr-FR"/>
              </w:rPr>
              <w:t>, tous segments confondus, puisque toutes les structures (associations, établissement publics et privés) et à titre individuel tous les professionnels du secteur, peuvent y adhérer.</w:t>
            </w:r>
          </w:p>
        </w:tc>
      </w:tr>
      <w:tr w:rsidR="00CE3E00" w:rsidRPr="002A35F5" w:rsidTr="007B22E8">
        <w:trPr>
          <w:trHeight w:val="748"/>
        </w:trPr>
        <w:tc>
          <w:tcPr>
            <w:tcW w:w="1391" w:type="dxa"/>
            <w:shd w:val="clear" w:color="auto" w:fill="auto"/>
            <w:noWrap/>
          </w:tcPr>
          <w:p w:rsidR="00CE3E00" w:rsidRDefault="00CE3E00" w:rsidP="00C07E22">
            <w:pPr>
              <w:autoSpaceDE w:val="0"/>
              <w:autoSpaceDN w:val="0"/>
              <w:adjustRightInd w:val="0"/>
              <w:spacing w:after="0" w:line="240" w:lineRule="auto"/>
              <w:jc w:val="both"/>
              <w:rPr>
                <w:rFonts w:eastAsia="Times New Roman" w:cs="Arial"/>
                <w:b/>
                <w:bCs/>
                <w:sz w:val="20"/>
                <w:szCs w:val="24"/>
                <w:lang w:eastAsia="fr-FR"/>
              </w:rPr>
            </w:pPr>
            <w:proofErr w:type="spellStart"/>
            <w:r>
              <w:rPr>
                <w:rFonts w:eastAsia="Times New Roman" w:cs="Arial"/>
                <w:b/>
                <w:bCs/>
                <w:sz w:val="20"/>
                <w:szCs w:val="24"/>
                <w:lang w:eastAsia="fr-FR"/>
              </w:rPr>
              <w:t>Agores</w:t>
            </w:r>
            <w:proofErr w:type="spellEnd"/>
          </w:p>
        </w:tc>
        <w:tc>
          <w:tcPr>
            <w:tcW w:w="7671" w:type="dxa"/>
            <w:shd w:val="clear" w:color="auto" w:fill="auto"/>
          </w:tcPr>
          <w:p w:rsidR="00CE3E00" w:rsidRPr="002A35F5" w:rsidRDefault="007B22E8" w:rsidP="007B22E8">
            <w:pPr>
              <w:autoSpaceDE w:val="0"/>
              <w:autoSpaceDN w:val="0"/>
              <w:adjustRightInd w:val="0"/>
              <w:spacing w:after="0" w:line="240" w:lineRule="auto"/>
              <w:jc w:val="both"/>
              <w:rPr>
                <w:rFonts w:eastAsia="Times New Roman" w:cs="Arial"/>
                <w:sz w:val="20"/>
                <w:szCs w:val="24"/>
                <w:lang w:eastAsia="fr-FR"/>
              </w:rPr>
            </w:pPr>
            <w:r>
              <w:rPr>
                <w:rFonts w:eastAsia="Times New Roman" w:cs="Arial"/>
                <w:sz w:val="20"/>
                <w:szCs w:val="24"/>
                <w:lang w:eastAsia="fr-FR"/>
              </w:rPr>
              <w:t>Association composant un ré</w:t>
            </w:r>
            <w:r w:rsidRPr="007B22E8">
              <w:rPr>
                <w:rFonts w:eastAsia="Times New Roman" w:cs="Arial"/>
                <w:sz w:val="20"/>
                <w:szCs w:val="24"/>
                <w:lang w:eastAsia="fr-FR"/>
              </w:rPr>
              <w:t>seau professionnel de directeur</w:t>
            </w:r>
            <w:r>
              <w:rPr>
                <w:rFonts w:eastAsia="Times New Roman" w:cs="Arial"/>
                <w:sz w:val="20"/>
                <w:szCs w:val="24"/>
                <w:lang w:eastAsia="fr-FR"/>
              </w:rPr>
              <w:t>s</w:t>
            </w:r>
            <w:r w:rsidRPr="007B22E8">
              <w:rPr>
                <w:rFonts w:eastAsia="Times New Roman" w:cs="Arial"/>
                <w:sz w:val="20"/>
                <w:szCs w:val="24"/>
                <w:lang w:eastAsia="fr-FR"/>
              </w:rPr>
              <w:t xml:space="preserve"> de cuisines</w:t>
            </w:r>
            <w:r>
              <w:rPr>
                <w:rFonts w:eastAsia="Times New Roman" w:cs="Arial"/>
                <w:sz w:val="20"/>
                <w:szCs w:val="24"/>
                <w:lang w:eastAsia="fr-FR"/>
              </w:rPr>
              <w:t xml:space="preserve"> du</w:t>
            </w:r>
            <w:r w:rsidRPr="007B22E8">
              <w:rPr>
                <w:rFonts w:eastAsia="Times New Roman" w:cs="Arial"/>
                <w:sz w:val="20"/>
                <w:szCs w:val="24"/>
                <w:lang w:eastAsia="fr-FR"/>
              </w:rPr>
              <w:t xml:space="preserve"> secteur scolaire (primaire)</w:t>
            </w:r>
          </w:p>
        </w:tc>
      </w:tr>
      <w:tr w:rsidR="009950EE" w:rsidRPr="002A35F5" w:rsidTr="007B22E8">
        <w:trPr>
          <w:trHeight w:val="748"/>
        </w:trPr>
        <w:tc>
          <w:tcPr>
            <w:tcW w:w="1391" w:type="dxa"/>
            <w:shd w:val="clear" w:color="auto" w:fill="auto"/>
            <w:noWrap/>
          </w:tcPr>
          <w:p w:rsidR="009950EE" w:rsidRPr="002A35F5" w:rsidRDefault="009950EE" w:rsidP="009950EE">
            <w:pPr>
              <w:autoSpaceDE w:val="0"/>
              <w:autoSpaceDN w:val="0"/>
              <w:adjustRightInd w:val="0"/>
              <w:spacing w:after="0" w:line="240" w:lineRule="auto"/>
              <w:jc w:val="both"/>
              <w:rPr>
                <w:rFonts w:eastAsia="Times New Roman" w:cs="Arial"/>
                <w:b/>
                <w:bCs/>
                <w:sz w:val="20"/>
                <w:szCs w:val="24"/>
                <w:lang w:eastAsia="fr-FR"/>
              </w:rPr>
            </w:pPr>
            <w:r w:rsidRPr="002A35F5">
              <w:rPr>
                <w:rFonts w:eastAsia="Times New Roman" w:cs="Arial"/>
                <w:b/>
                <w:bCs/>
                <w:sz w:val="20"/>
                <w:szCs w:val="24"/>
                <w:lang w:eastAsia="fr-FR"/>
              </w:rPr>
              <w:t>SNERS</w:t>
            </w:r>
          </w:p>
        </w:tc>
        <w:tc>
          <w:tcPr>
            <w:tcW w:w="7671" w:type="dxa"/>
            <w:shd w:val="clear" w:color="auto" w:fill="auto"/>
          </w:tcPr>
          <w:p w:rsidR="009950EE" w:rsidRPr="002A35F5" w:rsidRDefault="009950EE" w:rsidP="009950EE">
            <w:pPr>
              <w:autoSpaceDE w:val="0"/>
              <w:autoSpaceDN w:val="0"/>
              <w:adjustRightInd w:val="0"/>
              <w:spacing w:after="0" w:line="240" w:lineRule="auto"/>
              <w:jc w:val="both"/>
              <w:rPr>
                <w:rFonts w:eastAsia="Times New Roman" w:cs="Arial"/>
                <w:sz w:val="20"/>
                <w:szCs w:val="24"/>
                <w:lang w:eastAsia="fr-FR"/>
              </w:rPr>
            </w:pPr>
            <w:r>
              <w:rPr>
                <w:rFonts w:eastAsia="Times New Roman" w:cs="Arial"/>
                <w:sz w:val="20"/>
                <w:szCs w:val="24"/>
                <w:lang w:eastAsia="fr-FR"/>
              </w:rPr>
              <w:t>Syndicat National des Entreprises de Restauration et S</w:t>
            </w:r>
            <w:r w:rsidRPr="002D4986">
              <w:rPr>
                <w:rFonts w:eastAsia="Times New Roman" w:cs="Arial"/>
                <w:sz w:val="20"/>
                <w:szCs w:val="24"/>
                <w:lang w:eastAsia="fr-FR"/>
              </w:rPr>
              <w:t>ervices</w:t>
            </w:r>
            <w:r w:rsidR="007B22E8">
              <w:rPr>
                <w:rFonts w:eastAsia="Times New Roman" w:cs="Arial"/>
                <w:sz w:val="20"/>
                <w:szCs w:val="24"/>
                <w:lang w:eastAsia="fr-FR"/>
              </w:rPr>
              <w:t xml:space="preserve">. </w:t>
            </w:r>
          </w:p>
        </w:tc>
      </w:tr>
      <w:tr w:rsidR="009950EE" w:rsidRPr="002A35F5" w:rsidTr="007B22E8">
        <w:trPr>
          <w:trHeight w:val="580"/>
        </w:trPr>
        <w:tc>
          <w:tcPr>
            <w:tcW w:w="1391" w:type="dxa"/>
            <w:shd w:val="clear" w:color="auto" w:fill="auto"/>
            <w:noWrap/>
            <w:hideMark/>
          </w:tcPr>
          <w:p w:rsidR="009950EE" w:rsidRPr="002A35F5" w:rsidRDefault="009950EE" w:rsidP="009950EE">
            <w:pPr>
              <w:autoSpaceDE w:val="0"/>
              <w:autoSpaceDN w:val="0"/>
              <w:adjustRightInd w:val="0"/>
              <w:spacing w:after="0" w:line="240" w:lineRule="auto"/>
              <w:jc w:val="both"/>
              <w:rPr>
                <w:rFonts w:eastAsia="Times New Roman" w:cs="Arial"/>
                <w:b/>
                <w:bCs/>
                <w:sz w:val="20"/>
                <w:szCs w:val="24"/>
                <w:lang w:eastAsia="fr-FR"/>
              </w:rPr>
            </w:pPr>
            <w:r w:rsidRPr="002A35F5">
              <w:rPr>
                <w:rFonts w:eastAsia="Times New Roman" w:cs="Arial"/>
                <w:b/>
                <w:bCs/>
                <w:sz w:val="20"/>
                <w:szCs w:val="24"/>
                <w:lang w:eastAsia="fr-FR"/>
              </w:rPr>
              <w:t xml:space="preserve">AMF </w:t>
            </w:r>
          </w:p>
        </w:tc>
        <w:tc>
          <w:tcPr>
            <w:tcW w:w="7671" w:type="dxa"/>
            <w:shd w:val="clear" w:color="auto" w:fill="auto"/>
            <w:hideMark/>
          </w:tcPr>
          <w:p w:rsidR="009950EE" w:rsidRPr="002D4986" w:rsidRDefault="009950EE" w:rsidP="009950EE">
            <w:pPr>
              <w:autoSpaceDE w:val="0"/>
              <w:autoSpaceDN w:val="0"/>
              <w:adjustRightInd w:val="0"/>
              <w:spacing w:after="0" w:line="240" w:lineRule="auto"/>
              <w:jc w:val="both"/>
              <w:rPr>
                <w:rFonts w:eastAsia="Times New Roman" w:cs="Arial"/>
                <w:sz w:val="20"/>
                <w:szCs w:val="24"/>
                <w:lang w:eastAsia="fr-FR"/>
              </w:rPr>
            </w:pPr>
            <w:r w:rsidRPr="002D4986">
              <w:rPr>
                <w:rFonts w:eastAsia="Times New Roman" w:cs="Arial"/>
                <w:sz w:val="20"/>
                <w:szCs w:val="24"/>
                <w:lang w:eastAsia="fr-FR"/>
              </w:rPr>
              <w:t>Association</w:t>
            </w:r>
            <w:r w:rsidRPr="002D4986">
              <w:rPr>
                <w:rStyle w:val="Lienhypertexte"/>
                <w:rFonts w:eastAsia="Times New Roman" w:cs="Arial"/>
                <w:color w:val="auto"/>
                <w:sz w:val="20"/>
                <w:szCs w:val="24"/>
                <w:u w:val="none"/>
                <w:lang w:eastAsia="fr-FR"/>
              </w:rPr>
              <w:t xml:space="preserve"> des Maires de France</w:t>
            </w:r>
          </w:p>
        </w:tc>
      </w:tr>
      <w:tr w:rsidR="007B22E8" w:rsidRPr="002A35F5" w:rsidTr="007B22E8">
        <w:trPr>
          <w:trHeight w:val="580"/>
        </w:trPr>
        <w:tc>
          <w:tcPr>
            <w:tcW w:w="1391" w:type="dxa"/>
            <w:shd w:val="clear" w:color="auto" w:fill="auto"/>
            <w:noWrap/>
          </w:tcPr>
          <w:p w:rsidR="007B22E8" w:rsidRPr="002A35F5" w:rsidRDefault="007B22E8" w:rsidP="009950EE">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ADF</w:t>
            </w:r>
          </w:p>
        </w:tc>
        <w:tc>
          <w:tcPr>
            <w:tcW w:w="7671" w:type="dxa"/>
            <w:shd w:val="clear" w:color="auto" w:fill="auto"/>
          </w:tcPr>
          <w:p w:rsidR="007B22E8" w:rsidRPr="007B22E8" w:rsidRDefault="007B22E8" w:rsidP="009950EE">
            <w:pPr>
              <w:autoSpaceDE w:val="0"/>
              <w:autoSpaceDN w:val="0"/>
              <w:adjustRightInd w:val="0"/>
              <w:spacing w:after="0" w:line="240" w:lineRule="auto"/>
              <w:jc w:val="both"/>
              <w:rPr>
                <w:rFonts w:eastAsia="Times New Roman" w:cs="Arial"/>
                <w:sz w:val="20"/>
                <w:szCs w:val="24"/>
                <w:lang w:eastAsia="fr-FR"/>
              </w:rPr>
            </w:pPr>
            <w:r w:rsidRPr="007B22E8">
              <w:rPr>
                <w:rFonts w:eastAsia="Times New Roman" w:cs="Arial"/>
                <w:bCs/>
                <w:sz w:val="20"/>
                <w:szCs w:val="24"/>
                <w:lang w:eastAsia="fr-FR"/>
              </w:rPr>
              <w:t>Associations des Départements de France</w:t>
            </w:r>
          </w:p>
        </w:tc>
      </w:tr>
      <w:tr w:rsidR="009950EE" w:rsidRPr="002A35F5" w:rsidTr="007B22E8">
        <w:trPr>
          <w:trHeight w:val="580"/>
        </w:trPr>
        <w:tc>
          <w:tcPr>
            <w:tcW w:w="1391" w:type="dxa"/>
            <w:shd w:val="clear" w:color="auto" w:fill="auto"/>
            <w:noWrap/>
          </w:tcPr>
          <w:p w:rsidR="009950EE" w:rsidRPr="002A35F5" w:rsidRDefault="009950EE" w:rsidP="009950EE">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ARF</w:t>
            </w:r>
          </w:p>
        </w:tc>
        <w:tc>
          <w:tcPr>
            <w:tcW w:w="7671" w:type="dxa"/>
            <w:shd w:val="clear" w:color="auto" w:fill="auto"/>
          </w:tcPr>
          <w:p w:rsidR="009950EE" w:rsidRPr="007B22E8" w:rsidRDefault="009950EE" w:rsidP="009950EE">
            <w:pPr>
              <w:autoSpaceDE w:val="0"/>
              <w:autoSpaceDN w:val="0"/>
              <w:adjustRightInd w:val="0"/>
              <w:spacing w:after="0" w:line="240" w:lineRule="auto"/>
              <w:jc w:val="both"/>
              <w:rPr>
                <w:rFonts w:eastAsia="Times New Roman" w:cs="Arial"/>
                <w:sz w:val="20"/>
                <w:szCs w:val="24"/>
                <w:lang w:eastAsia="fr-FR"/>
              </w:rPr>
            </w:pPr>
            <w:r w:rsidRPr="007B22E8">
              <w:rPr>
                <w:rFonts w:eastAsia="Times New Roman" w:cs="Arial"/>
                <w:bCs/>
                <w:sz w:val="20"/>
                <w:szCs w:val="24"/>
                <w:lang w:eastAsia="fr-FR"/>
              </w:rPr>
              <w:t>Associations des régions de France</w:t>
            </w:r>
          </w:p>
        </w:tc>
      </w:tr>
      <w:tr w:rsidR="009950EE" w:rsidRPr="002A35F5" w:rsidTr="007B22E8">
        <w:trPr>
          <w:trHeight w:val="580"/>
        </w:trPr>
        <w:tc>
          <w:tcPr>
            <w:tcW w:w="1391" w:type="dxa"/>
            <w:shd w:val="clear" w:color="auto" w:fill="auto"/>
            <w:noWrap/>
          </w:tcPr>
          <w:p w:rsidR="009950EE" w:rsidRPr="002A35F5" w:rsidRDefault="009950EE" w:rsidP="009950EE">
            <w:pPr>
              <w:autoSpaceDE w:val="0"/>
              <w:autoSpaceDN w:val="0"/>
              <w:adjustRightInd w:val="0"/>
              <w:spacing w:after="0" w:line="240" w:lineRule="auto"/>
              <w:jc w:val="both"/>
              <w:rPr>
                <w:rFonts w:eastAsia="Times New Roman" w:cs="Arial"/>
                <w:b/>
                <w:bCs/>
                <w:sz w:val="20"/>
                <w:szCs w:val="24"/>
                <w:lang w:eastAsia="fr-FR"/>
              </w:rPr>
            </w:pPr>
            <w:r w:rsidRPr="002A35F5">
              <w:rPr>
                <w:rFonts w:eastAsia="Times New Roman" w:cs="Arial"/>
                <w:b/>
                <w:bCs/>
                <w:sz w:val="20"/>
                <w:szCs w:val="24"/>
                <w:lang w:eastAsia="fr-FR"/>
              </w:rPr>
              <w:t>SNRC</w:t>
            </w:r>
          </w:p>
        </w:tc>
        <w:tc>
          <w:tcPr>
            <w:tcW w:w="7671" w:type="dxa"/>
            <w:shd w:val="clear" w:color="auto" w:fill="auto"/>
          </w:tcPr>
          <w:p w:rsidR="009950EE" w:rsidRPr="002A35F5" w:rsidRDefault="007B22E8" w:rsidP="009950EE">
            <w:pPr>
              <w:autoSpaceDE w:val="0"/>
              <w:autoSpaceDN w:val="0"/>
              <w:adjustRightInd w:val="0"/>
              <w:spacing w:after="0" w:line="240" w:lineRule="auto"/>
              <w:jc w:val="both"/>
              <w:rPr>
                <w:rFonts w:eastAsia="Times New Roman" w:cs="Arial"/>
                <w:sz w:val="20"/>
                <w:szCs w:val="24"/>
                <w:lang w:eastAsia="fr-FR"/>
              </w:rPr>
            </w:pPr>
            <w:r>
              <w:rPr>
                <w:rFonts w:eastAsia="Times New Roman" w:cs="Arial"/>
                <w:sz w:val="20"/>
                <w:szCs w:val="24"/>
                <w:lang w:eastAsia="fr-FR"/>
              </w:rPr>
              <w:t>Syndicat N</w:t>
            </w:r>
            <w:r w:rsidR="009950EE">
              <w:rPr>
                <w:rFonts w:eastAsia="Times New Roman" w:cs="Arial"/>
                <w:sz w:val="20"/>
                <w:szCs w:val="24"/>
                <w:lang w:eastAsia="fr-FR"/>
              </w:rPr>
              <w:t>ational de Restauration Collective</w:t>
            </w:r>
          </w:p>
        </w:tc>
      </w:tr>
      <w:tr w:rsidR="009950EE" w:rsidRPr="002A35F5" w:rsidTr="007B22E8">
        <w:trPr>
          <w:trHeight w:val="580"/>
        </w:trPr>
        <w:tc>
          <w:tcPr>
            <w:tcW w:w="1391" w:type="dxa"/>
            <w:shd w:val="clear" w:color="auto" w:fill="auto"/>
            <w:noWrap/>
          </w:tcPr>
          <w:p w:rsidR="009950EE" w:rsidRPr="002A35F5" w:rsidRDefault="009950EE" w:rsidP="009950EE">
            <w:pPr>
              <w:autoSpaceDE w:val="0"/>
              <w:autoSpaceDN w:val="0"/>
              <w:adjustRightInd w:val="0"/>
              <w:spacing w:after="0" w:line="240" w:lineRule="auto"/>
              <w:jc w:val="both"/>
              <w:rPr>
                <w:rFonts w:eastAsia="Times New Roman" w:cs="Arial"/>
                <w:b/>
                <w:bCs/>
                <w:sz w:val="20"/>
                <w:szCs w:val="24"/>
                <w:lang w:eastAsia="fr-FR"/>
              </w:rPr>
            </w:pPr>
            <w:r w:rsidRPr="002A35F5">
              <w:rPr>
                <w:rFonts w:eastAsia="Times New Roman" w:cs="Arial"/>
                <w:b/>
                <w:bCs/>
                <w:sz w:val="20"/>
                <w:szCs w:val="24"/>
                <w:lang w:eastAsia="fr-FR"/>
              </w:rPr>
              <w:lastRenderedPageBreak/>
              <w:t xml:space="preserve">FNAB </w:t>
            </w:r>
          </w:p>
        </w:tc>
        <w:tc>
          <w:tcPr>
            <w:tcW w:w="7671" w:type="dxa"/>
            <w:shd w:val="clear" w:color="auto" w:fill="auto"/>
          </w:tcPr>
          <w:p w:rsidR="009950EE" w:rsidRPr="007B22E8" w:rsidRDefault="009950EE" w:rsidP="009950EE">
            <w:pPr>
              <w:autoSpaceDE w:val="0"/>
              <w:autoSpaceDN w:val="0"/>
              <w:adjustRightInd w:val="0"/>
              <w:spacing w:after="0" w:line="240" w:lineRule="auto"/>
              <w:jc w:val="both"/>
              <w:rPr>
                <w:rFonts w:eastAsia="Times New Roman" w:cs="Arial"/>
                <w:sz w:val="20"/>
                <w:szCs w:val="24"/>
                <w:lang w:eastAsia="fr-FR"/>
              </w:rPr>
            </w:pPr>
            <w:r w:rsidRPr="007B22E8">
              <w:rPr>
                <w:rFonts w:eastAsia="Times New Roman" w:cs="Arial"/>
                <w:bCs/>
                <w:sz w:val="20"/>
                <w:szCs w:val="24"/>
                <w:lang w:eastAsia="fr-FR"/>
              </w:rPr>
              <w:t>Fédération Nationale d’Agriculture Biologique</w:t>
            </w:r>
          </w:p>
        </w:tc>
      </w:tr>
      <w:tr w:rsidR="009950EE" w:rsidRPr="002A35F5" w:rsidTr="007B22E8">
        <w:trPr>
          <w:trHeight w:val="580"/>
        </w:trPr>
        <w:tc>
          <w:tcPr>
            <w:tcW w:w="1391" w:type="dxa"/>
            <w:shd w:val="clear" w:color="auto" w:fill="auto"/>
            <w:noWrap/>
          </w:tcPr>
          <w:p w:rsidR="009950EE" w:rsidRPr="002A35F5" w:rsidRDefault="009950EE" w:rsidP="009950EE">
            <w:pPr>
              <w:autoSpaceDE w:val="0"/>
              <w:autoSpaceDN w:val="0"/>
              <w:adjustRightInd w:val="0"/>
              <w:spacing w:after="0" w:line="240" w:lineRule="auto"/>
              <w:jc w:val="both"/>
              <w:rPr>
                <w:rFonts w:eastAsia="Times New Roman" w:cs="Arial"/>
                <w:b/>
                <w:bCs/>
                <w:sz w:val="20"/>
                <w:szCs w:val="24"/>
                <w:lang w:eastAsia="fr-FR"/>
              </w:rPr>
            </w:pPr>
            <w:proofErr w:type="spellStart"/>
            <w:r w:rsidRPr="002A35F5">
              <w:rPr>
                <w:rFonts w:eastAsia="Times New Roman" w:cs="Arial"/>
                <w:b/>
                <w:bCs/>
                <w:sz w:val="20"/>
                <w:szCs w:val="24"/>
                <w:lang w:eastAsia="fr-FR"/>
              </w:rPr>
              <w:t>Ecocert</w:t>
            </w:r>
            <w:proofErr w:type="spellEnd"/>
          </w:p>
        </w:tc>
        <w:tc>
          <w:tcPr>
            <w:tcW w:w="7671" w:type="dxa"/>
            <w:shd w:val="clear" w:color="auto" w:fill="auto"/>
          </w:tcPr>
          <w:p w:rsidR="009950EE" w:rsidRPr="007B22E8" w:rsidRDefault="009950EE" w:rsidP="009950EE">
            <w:pPr>
              <w:autoSpaceDE w:val="0"/>
              <w:autoSpaceDN w:val="0"/>
              <w:adjustRightInd w:val="0"/>
              <w:spacing w:after="0" w:line="240" w:lineRule="auto"/>
              <w:jc w:val="both"/>
              <w:rPr>
                <w:rFonts w:eastAsia="Times New Roman" w:cs="Arial"/>
                <w:sz w:val="20"/>
                <w:szCs w:val="24"/>
                <w:lang w:eastAsia="fr-FR"/>
              </w:rPr>
            </w:pPr>
            <w:r w:rsidRPr="007B22E8">
              <w:rPr>
                <w:rFonts w:eastAsia="Times New Roman" w:cs="Arial"/>
                <w:bCs/>
                <w:sz w:val="20"/>
                <w:szCs w:val="24"/>
                <w:lang w:eastAsia="fr-FR"/>
              </w:rPr>
              <w:t>Organisme de certification production agricole bio et label « en cuisine »</w:t>
            </w:r>
          </w:p>
        </w:tc>
      </w:tr>
    </w:tbl>
    <w:p w:rsidR="002D4986" w:rsidRDefault="002D4986">
      <w:bookmarkStart w:id="0" w:name="_GoBack"/>
      <w:bookmarkEnd w:id="0"/>
    </w:p>
    <w:p w:rsidR="002D4986" w:rsidRPr="0002155B" w:rsidRDefault="00695B8D">
      <w:pPr>
        <w:rPr>
          <w:b/>
          <w:u w:val="single"/>
        </w:rPr>
      </w:pPr>
      <w:r w:rsidRPr="0002155B">
        <w:rPr>
          <w:b/>
          <w:u w:val="single"/>
        </w:rPr>
        <w:t>Définition</w:t>
      </w:r>
      <w:r w:rsidR="007151A0">
        <w:rPr>
          <w:b/>
          <w:u w:val="single"/>
        </w:rPr>
        <w:t>s</w:t>
      </w:r>
      <w:r w:rsidRPr="0002155B">
        <w:rPr>
          <w:b/>
          <w:u w:val="single"/>
        </w:rPr>
        <w:t>/concepts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95B8D" w:rsidRPr="002A35F5" w:rsidTr="00C12013">
        <w:trPr>
          <w:trHeight w:val="290"/>
        </w:trPr>
        <w:tc>
          <w:tcPr>
            <w:tcW w:w="1271" w:type="dxa"/>
            <w:shd w:val="clear" w:color="auto" w:fill="auto"/>
            <w:noWrap/>
          </w:tcPr>
          <w:p w:rsidR="00695B8D" w:rsidRPr="002A35F5" w:rsidRDefault="00695B8D" w:rsidP="00C12013">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Gestion directe</w:t>
            </w:r>
          </w:p>
        </w:tc>
        <w:tc>
          <w:tcPr>
            <w:tcW w:w="7791" w:type="dxa"/>
            <w:shd w:val="clear" w:color="auto" w:fill="auto"/>
            <w:noWrap/>
          </w:tcPr>
          <w:p w:rsidR="000F5C0B" w:rsidRDefault="007F27EB" w:rsidP="000F5C0B">
            <w:pPr>
              <w:autoSpaceDE w:val="0"/>
              <w:autoSpaceDN w:val="0"/>
              <w:adjustRightInd w:val="0"/>
              <w:spacing w:after="0" w:line="240" w:lineRule="auto"/>
              <w:jc w:val="both"/>
              <w:rPr>
                <w:rFonts w:eastAsia="Times New Roman" w:cs="Arial"/>
                <w:sz w:val="20"/>
                <w:szCs w:val="24"/>
                <w:lang w:eastAsia="fr-FR"/>
              </w:rPr>
            </w:pPr>
            <w:r>
              <w:rPr>
                <w:rFonts w:eastAsia="Times New Roman" w:cs="Arial"/>
                <w:sz w:val="20"/>
                <w:szCs w:val="24"/>
                <w:lang w:eastAsia="fr-FR"/>
              </w:rPr>
              <w:t xml:space="preserve">Est aussi appelée « service en régie ». </w:t>
            </w:r>
            <w:r w:rsidR="00695B8D">
              <w:rPr>
                <w:rFonts w:eastAsia="Times New Roman" w:cs="Arial"/>
                <w:sz w:val="20"/>
                <w:szCs w:val="24"/>
                <w:lang w:eastAsia="fr-FR"/>
              </w:rPr>
              <w:t xml:space="preserve">Un service de restauration collective est dit direct </w:t>
            </w:r>
            <w:proofErr w:type="gramStart"/>
            <w:r w:rsidR="00695B8D">
              <w:rPr>
                <w:rFonts w:eastAsia="Times New Roman" w:cs="Arial"/>
                <w:sz w:val="20"/>
                <w:szCs w:val="24"/>
                <w:lang w:eastAsia="fr-FR"/>
              </w:rPr>
              <w:t>si il</w:t>
            </w:r>
            <w:proofErr w:type="gramEnd"/>
            <w:r w:rsidR="00695B8D">
              <w:rPr>
                <w:rFonts w:eastAsia="Times New Roman" w:cs="Arial"/>
                <w:sz w:val="20"/>
                <w:szCs w:val="24"/>
                <w:lang w:eastAsia="fr-FR"/>
              </w:rPr>
              <w:t xml:space="preserve"> est géré directement par celui qui organise le service de restauration. </w:t>
            </w:r>
            <w:r w:rsidR="000F5C0B">
              <w:rPr>
                <w:rFonts w:eastAsia="Times New Roman" w:cs="Arial"/>
                <w:sz w:val="20"/>
                <w:szCs w:val="24"/>
                <w:lang w:eastAsia="fr-FR"/>
              </w:rPr>
              <w:t xml:space="preserve">Exemple : </w:t>
            </w:r>
            <w:r w:rsidR="00695B8D">
              <w:rPr>
                <w:rFonts w:eastAsia="Times New Roman" w:cs="Arial"/>
                <w:sz w:val="20"/>
                <w:szCs w:val="24"/>
                <w:lang w:eastAsia="fr-FR"/>
              </w:rPr>
              <w:t xml:space="preserve">Cas d’une collectivité locale, une mairie qui </w:t>
            </w:r>
            <w:r w:rsidR="000F5C0B">
              <w:rPr>
                <w:rFonts w:eastAsia="Times New Roman" w:cs="Arial"/>
                <w:sz w:val="20"/>
                <w:szCs w:val="24"/>
                <w:lang w:eastAsia="fr-FR"/>
              </w:rPr>
              <w:t xml:space="preserve">gère l’ensemble du service par ses propres moyens. Elle </w:t>
            </w:r>
            <w:r w:rsidR="00695B8D">
              <w:rPr>
                <w:rFonts w:eastAsia="Times New Roman" w:cs="Arial"/>
                <w:sz w:val="20"/>
                <w:szCs w:val="24"/>
                <w:lang w:eastAsia="fr-FR"/>
              </w:rPr>
              <w:t>dédie à sa cantine du personnel de cuisine, de service à table et qui procède directement aux achats des denrées via des marchés publics</w:t>
            </w:r>
            <w:r w:rsidR="000F5C0B">
              <w:rPr>
                <w:rFonts w:eastAsia="Times New Roman" w:cs="Arial"/>
                <w:sz w:val="20"/>
                <w:szCs w:val="24"/>
                <w:lang w:eastAsia="fr-FR"/>
              </w:rPr>
              <w:t xml:space="preserve">. Elle gère aussi les bâtiments, les équipements nécessaires, le matériel </w:t>
            </w:r>
            <w:r w:rsidR="000214FA">
              <w:rPr>
                <w:rFonts w:eastAsia="Times New Roman" w:cs="Arial"/>
                <w:sz w:val="20"/>
                <w:szCs w:val="24"/>
                <w:lang w:eastAsia="fr-FR"/>
              </w:rPr>
              <w:t>utilisé...</w:t>
            </w:r>
          </w:p>
          <w:p w:rsidR="00695B8D" w:rsidRPr="002A35F5" w:rsidRDefault="000F5C0B" w:rsidP="000F5C0B">
            <w:pPr>
              <w:autoSpaceDE w:val="0"/>
              <w:autoSpaceDN w:val="0"/>
              <w:adjustRightInd w:val="0"/>
              <w:spacing w:after="0" w:line="240" w:lineRule="auto"/>
              <w:jc w:val="both"/>
              <w:rPr>
                <w:rFonts w:eastAsia="Times New Roman" w:cs="Arial"/>
                <w:sz w:val="20"/>
                <w:szCs w:val="24"/>
                <w:lang w:eastAsia="fr-FR"/>
              </w:rPr>
            </w:pPr>
            <w:r>
              <w:rPr>
                <w:rFonts w:eastAsia="Times New Roman" w:cs="Arial"/>
                <w:sz w:val="20"/>
                <w:szCs w:val="24"/>
                <w:lang w:eastAsia="fr-FR"/>
              </w:rPr>
              <w:t>C’est le mode de gestion le plus représenté (60%)</w:t>
            </w:r>
          </w:p>
        </w:tc>
      </w:tr>
      <w:tr w:rsidR="008B4839" w:rsidRPr="002A35F5" w:rsidTr="00C12013">
        <w:trPr>
          <w:trHeight w:val="290"/>
        </w:trPr>
        <w:tc>
          <w:tcPr>
            <w:tcW w:w="1271" w:type="dxa"/>
            <w:shd w:val="clear" w:color="auto" w:fill="auto"/>
            <w:noWrap/>
          </w:tcPr>
          <w:p w:rsidR="008B4839" w:rsidRDefault="000F5C0B" w:rsidP="00C12013">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Gestion concédée</w:t>
            </w:r>
          </w:p>
        </w:tc>
        <w:tc>
          <w:tcPr>
            <w:tcW w:w="7791" w:type="dxa"/>
            <w:shd w:val="clear" w:color="auto" w:fill="auto"/>
            <w:noWrap/>
          </w:tcPr>
          <w:p w:rsidR="008B4839" w:rsidRPr="000214FA" w:rsidRDefault="000F5C0B" w:rsidP="000214FA">
            <w:pPr>
              <w:autoSpaceDE w:val="0"/>
              <w:autoSpaceDN w:val="0"/>
              <w:adjustRightInd w:val="0"/>
              <w:spacing w:after="0" w:line="240" w:lineRule="auto"/>
              <w:jc w:val="both"/>
              <w:rPr>
                <w:rFonts w:asciiTheme="minorHAnsi" w:eastAsiaTheme="minorHAnsi" w:hAnsiTheme="minorHAnsi" w:cstheme="minorHAnsi"/>
                <w:sz w:val="20"/>
                <w:szCs w:val="20"/>
              </w:rPr>
            </w:pPr>
            <w:r w:rsidRPr="000214FA">
              <w:rPr>
                <w:rFonts w:asciiTheme="minorHAnsi" w:eastAsia="Times New Roman" w:hAnsiTheme="minorHAnsi" w:cstheme="minorHAnsi"/>
                <w:sz w:val="20"/>
                <w:szCs w:val="20"/>
                <w:lang w:eastAsia="fr-FR"/>
              </w:rPr>
              <w:t>Est aussi appelée en délégation de service</w:t>
            </w:r>
            <w:r w:rsidR="007D5E2A" w:rsidRPr="000214FA">
              <w:rPr>
                <w:rFonts w:asciiTheme="minorHAnsi" w:eastAsia="Times New Roman" w:hAnsiTheme="minorHAnsi" w:cstheme="minorHAnsi"/>
                <w:sz w:val="20"/>
                <w:szCs w:val="20"/>
                <w:lang w:eastAsia="fr-FR"/>
              </w:rPr>
              <w:t xml:space="preserve">. Plusieurs cas de figures peuvent se présenter en fonction de l’activité déléguée. </w:t>
            </w:r>
            <w:r w:rsidR="007151A0" w:rsidRPr="000214FA">
              <w:rPr>
                <w:rFonts w:asciiTheme="minorHAnsi" w:eastAsiaTheme="minorHAnsi" w:hAnsiTheme="minorHAnsi" w:cstheme="minorHAnsi"/>
                <w:sz w:val="20"/>
                <w:szCs w:val="20"/>
              </w:rPr>
              <w:t>Les collectivités ou les établissements peuvent</w:t>
            </w:r>
            <w:r w:rsidR="007D5E2A" w:rsidRPr="000214FA">
              <w:rPr>
                <w:rFonts w:asciiTheme="minorHAnsi" w:eastAsiaTheme="minorHAnsi" w:hAnsiTheme="minorHAnsi" w:cstheme="minorHAnsi"/>
                <w:sz w:val="20"/>
                <w:szCs w:val="20"/>
              </w:rPr>
              <w:t xml:space="preserve"> confie</w:t>
            </w:r>
            <w:r w:rsidR="007151A0" w:rsidRPr="000214FA">
              <w:rPr>
                <w:rFonts w:asciiTheme="minorHAnsi" w:eastAsiaTheme="minorHAnsi" w:hAnsiTheme="minorHAnsi" w:cstheme="minorHAnsi"/>
                <w:sz w:val="20"/>
                <w:szCs w:val="20"/>
              </w:rPr>
              <w:t>r</w:t>
            </w:r>
            <w:r w:rsidR="007D5E2A" w:rsidRPr="000214FA">
              <w:rPr>
                <w:rFonts w:asciiTheme="minorHAnsi" w:eastAsiaTheme="minorHAnsi" w:hAnsiTheme="minorHAnsi" w:cstheme="minorHAnsi"/>
                <w:sz w:val="20"/>
                <w:szCs w:val="20"/>
              </w:rPr>
              <w:t xml:space="preserve"> la gestion de </w:t>
            </w:r>
            <w:r w:rsidR="007151A0" w:rsidRPr="000214FA">
              <w:rPr>
                <w:rFonts w:asciiTheme="minorHAnsi" w:eastAsiaTheme="minorHAnsi" w:hAnsiTheme="minorHAnsi" w:cstheme="minorHAnsi"/>
                <w:sz w:val="20"/>
                <w:szCs w:val="20"/>
              </w:rPr>
              <w:t>leur service de</w:t>
            </w:r>
            <w:r w:rsidR="007D5E2A" w:rsidRPr="000214FA">
              <w:rPr>
                <w:rFonts w:asciiTheme="minorHAnsi" w:eastAsiaTheme="minorHAnsi" w:hAnsiTheme="minorHAnsi" w:cstheme="minorHAnsi"/>
                <w:sz w:val="20"/>
                <w:szCs w:val="20"/>
              </w:rPr>
              <w:t xml:space="preserve"> restauration collective à un</w:t>
            </w:r>
            <w:r w:rsidR="007D5E2A" w:rsidRPr="000214FA">
              <w:rPr>
                <w:rFonts w:asciiTheme="minorHAnsi" w:eastAsiaTheme="minorHAnsi" w:hAnsiTheme="minorHAnsi" w:cstheme="minorHAnsi"/>
                <w:sz w:val="20"/>
                <w:szCs w:val="20"/>
              </w:rPr>
              <w:t xml:space="preserve"> </w:t>
            </w:r>
            <w:r w:rsidR="000214FA" w:rsidRPr="000214FA">
              <w:rPr>
                <w:rFonts w:asciiTheme="minorHAnsi" w:eastAsiaTheme="minorHAnsi" w:hAnsiTheme="minorHAnsi" w:cstheme="minorHAnsi"/>
                <w:sz w:val="20"/>
                <w:szCs w:val="20"/>
              </w:rPr>
              <w:t>opérateur généralement privé. Dans ce cas, l</w:t>
            </w:r>
            <w:r w:rsidR="007D5E2A" w:rsidRPr="000214FA">
              <w:rPr>
                <w:rFonts w:asciiTheme="minorHAnsi" w:eastAsiaTheme="minorHAnsi" w:hAnsiTheme="minorHAnsi" w:cstheme="minorHAnsi"/>
                <w:sz w:val="20"/>
                <w:szCs w:val="20"/>
              </w:rPr>
              <w:t>es repas sont préparés au sein de cuisines</w:t>
            </w:r>
            <w:r w:rsidR="007D5E2A" w:rsidRPr="000214FA">
              <w:rPr>
                <w:rFonts w:asciiTheme="minorHAnsi" w:eastAsiaTheme="minorHAnsi" w:hAnsiTheme="minorHAnsi" w:cstheme="minorHAnsi"/>
                <w:sz w:val="20"/>
                <w:szCs w:val="20"/>
              </w:rPr>
              <w:t xml:space="preserve"> </w:t>
            </w:r>
            <w:r w:rsidR="007D5E2A" w:rsidRPr="000214FA">
              <w:rPr>
                <w:rFonts w:asciiTheme="minorHAnsi" w:eastAsiaTheme="minorHAnsi" w:hAnsiTheme="minorHAnsi" w:cstheme="minorHAnsi"/>
                <w:sz w:val="20"/>
                <w:szCs w:val="20"/>
              </w:rPr>
              <w:t>appartenant à la collectivité</w:t>
            </w:r>
            <w:r w:rsidR="007151A0" w:rsidRPr="000214FA">
              <w:rPr>
                <w:rFonts w:asciiTheme="minorHAnsi" w:eastAsiaTheme="minorHAnsi" w:hAnsiTheme="minorHAnsi" w:cstheme="minorHAnsi"/>
                <w:sz w:val="20"/>
                <w:szCs w:val="20"/>
              </w:rPr>
              <w:t>/l’</w:t>
            </w:r>
            <w:r w:rsidR="00383A2B" w:rsidRPr="000214FA">
              <w:rPr>
                <w:rFonts w:asciiTheme="minorHAnsi" w:eastAsiaTheme="minorHAnsi" w:hAnsiTheme="minorHAnsi" w:cstheme="minorHAnsi"/>
                <w:sz w:val="20"/>
                <w:szCs w:val="20"/>
              </w:rPr>
              <w:t>établissement</w:t>
            </w:r>
            <w:r w:rsidR="007D5E2A" w:rsidRPr="000214FA">
              <w:rPr>
                <w:rFonts w:asciiTheme="minorHAnsi" w:eastAsiaTheme="minorHAnsi" w:hAnsiTheme="minorHAnsi" w:cstheme="minorHAnsi"/>
                <w:sz w:val="20"/>
                <w:szCs w:val="20"/>
              </w:rPr>
              <w:t xml:space="preserve"> ou au délégataire. Ce dernier gère les personnels</w:t>
            </w:r>
            <w:r w:rsidR="007D5E2A" w:rsidRPr="000214FA">
              <w:rPr>
                <w:rFonts w:asciiTheme="minorHAnsi" w:eastAsiaTheme="minorHAnsi" w:hAnsiTheme="minorHAnsi" w:cstheme="minorHAnsi"/>
                <w:sz w:val="20"/>
                <w:szCs w:val="20"/>
              </w:rPr>
              <w:t xml:space="preserve"> </w:t>
            </w:r>
            <w:r w:rsidR="007D5E2A" w:rsidRPr="000214FA">
              <w:rPr>
                <w:rFonts w:asciiTheme="minorHAnsi" w:eastAsiaTheme="minorHAnsi" w:hAnsiTheme="minorHAnsi" w:cstheme="minorHAnsi"/>
                <w:sz w:val="20"/>
                <w:szCs w:val="20"/>
              </w:rPr>
              <w:t>concernés.</w:t>
            </w:r>
            <w:r w:rsidR="007151A0" w:rsidRPr="000214FA">
              <w:rPr>
                <w:rFonts w:asciiTheme="minorHAnsi" w:eastAsiaTheme="minorHAnsi" w:hAnsiTheme="minorHAnsi" w:cstheme="minorHAnsi"/>
                <w:sz w:val="20"/>
                <w:szCs w:val="20"/>
              </w:rPr>
              <w:t xml:space="preserve"> Autre cas de figure : </w:t>
            </w:r>
            <w:r w:rsidR="007151A0" w:rsidRPr="000214FA">
              <w:rPr>
                <w:rFonts w:asciiTheme="minorHAnsi" w:eastAsiaTheme="minorHAnsi" w:hAnsiTheme="minorHAnsi" w:cstheme="minorHAnsi"/>
                <w:sz w:val="20"/>
                <w:szCs w:val="20"/>
              </w:rPr>
              <w:t>la collectivité/l’</w:t>
            </w:r>
            <w:r w:rsidR="007151A0" w:rsidRPr="000214FA">
              <w:rPr>
                <w:rFonts w:asciiTheme="minorHAnsi" w:eastAsiaTheme="minorHAnsi" w:hAnsiTheme="minorHAnsi" w:cstheme="minorHAnsi"/>
                <w:sz w:val="20"/>
                <w:szCs w:val="20"/>
              </w:rPr>
              <w:t xml:space="preserve">établissement </w:t>
            </w:r>
            <w:r w:rsidR="000214FA" w:rsidRPr="000214FA">
              <w:rPr>
                <w:rFonts w:asciiTheme="minorHAnsi" w:eastAsiaTheme="minorHAnsi" w:hAnsiTheme="minorHAnsi" w:cstheme="minorHAnsi"/>
                <w:sz w:val="20"/>
                <w:szCs w:val="20"/>
              </w:rPr>
              <w:t xml:space="preserve">achète directement des repas </w:t>
            </w:r>
            <w:r w:rsidR="000214FA" w:rsidRPr="000214FA">
              <w:rPr>
                <w:rFonts w:asciiTheme="minorHAnsi" w:eastAsiaTheme="minorHAnsi" w:hAnsiTheme="minorHAnsi" w:cstheme="minorHAnsi"/>
                <w:sz w:val="20"/>
                <w:szCs w:val="20"/>
              </w:rPr>
              <w:t>conçus et préparés par un tiers</w:t>
            </w:r>
            <w:r w:rsidR="007151A0" w:rsidRPr="000214FA">
              <w:rPr>
                <w:rFonts w:asciiTheme="minorHAnsi" w:eastAsiaTheme="minorHAnsi" w:hAnsiTheme="minorHAnsi" w:cstheme="minorHAnsi"/>
                <w:sz w:val="20"/>
                <w:szCs w:val="20"/>
              </w:rPr>
              <w:t xml:space="preserve"> à des opérateurs privés</w:t>
            </w:r>
            <w:r w:rsidR="000214FA" w:rsidRPr="000214FA">
              <w:rPr>
                <w:rFonts w:asciiTheme="minorHAnsi" w:eastAsiaTheme="minorHAnsi" w:hAnsiTheme="minorHAnsi" w:cstheme="minorHAnsi"/>
                <w:sz w:val="20"/>
                <w:szCs w:val="20"/>
              </w:rPr>
              <w:t xml:space="preserve">. </w:t>
            </w:r>
            <w:r w:rsidR="000214FA" w:rsidRPr="000214FA">
              <w:rPr>
                <w:rFonts w:asciiTheme="minorHAnsi" w:eastAsiaTheme="minorHAnsi" w:hAnsiTheme="minorHAnsi" w:cstheme="minorHAnsi"/>
                <w:sz w:val="20"/>
                <w:szCs w:val="20"/>
              </w:rPr>
              <w:t>Dans ce cas,</w:t>
            </w:r>
            <w:r w:rsidR="000214FA" w:rsidRPr="000214FA">
              <w:rPr>
                <w:rFonts w:asciiTheme="minorHAnsi" w:eastAsiaTheme="minorHAnsi" w:hAnsiTheme="minorHAnsi" w:cstheme="minorHAnsi"/>
                <w:sz w:val="20"/>
                <w:szCs w:val="20"/>
              </w:rPr>
              <w:t xml:space="preserve"> e</w:t>
            </w:r>
            <w:r w:rsidR="000214FA" w:rsidRPr="000214FA">
              <w:rPr>
                <w:rFonts w:asciiTheme="minorHAnsi" w:eastAsiaTheme="minorHAnsi" w:hAnsiTheme="minorHAnsi" w:cstheme="minorHAnsi"/>
                <w:sz w:val="20"/>
                <w:szCs w:val="20"/>
              </w:rPr>
              <w:t>lles n’ont alors besoin ni de</w:t>
            </w:r>
            <w:r w:rsidR="000214FA" w:rsidRPr="000214FA">
              <w:rPr>
                <w:rFonts w:asciiTheme="minorHAnsi" w:eastAsiaTheme="minorHAnsi" w:hAnsiTheme="minorHAnsi" w:cstheme="minorHAnsi"/>
                <w:sz w:val="20"/>
                <w:szCs w:val="20"/>
              </w:rPr>
              <w:t xml:space="preserve"> </w:t>
            </w:r>
            <w:r w:rsidR="000214FA" w:rsidRPr="000214FA">
              <w:rPr>
                <w:rFonts w:asciiTheme="minorHAnsi" w:eastAsiaTheme="minorHAnsi" w:hAnsiTheme="minorHAnsi" w:cstheme="minorHAnsi"/>
                <w:sz w:val="20"/>
                <w:szCs w:val="20"/>
              </w:rPr>
              <w:t>disposer de leur propre cuisine centrale ni de gérer l’approvisionnement en</w:t>
            </w:r>
            <w:r w:rsidR="000214FA" w:rsidRPr="000214FA">
              <w:rPr>
                <w:rFonts w:asciiTheme="minorHAnsi" w:eastAsiaTheme="minorHAnsi" w:hAnsiTheme="minorHAnsi" w:cstheme="minorHAnsi"/>
                <w:sz w:val="20"/>
                <w:szCs w:val="20"/>
              </w:rPr>
              <w:t xml:space="preserve"> </w:t>
            </w:r>
            <w:r w:rsidR="000214FA" w:rsidRPr="000214FA">
              <w:rPr>
                <w:rFonts w:asciiTheme="minorHAnsi" w:eastAsiaTheme="minorHAnsi" w:hAnsiTheme="minorHAnsi" w:cstheme="minorHAnsi"/>
                <w:sz w:val="20"/>
                <w:szCs w:val="20"/>
              </w:rPr>
              <w:t>matières premières.</w:t>
            </w:r>
          </w:p>
        </w:tc>
      </w:tr>
      <w:tr w:rsidR="008B4839" w:rsidRPr="002A35F5" w:rsidTr="00C12013">
        <w:trPr>
          <w:trHeight w:val="290"/>
        </w:trPr>
        <w:tc>
          <w:tcPr>
            <w:tcW w:w="1271" w:type="dxa"/>
            <w:shd w:val="clear" w:color="auto" w:fill="auto"/>
            <w:noWrap/>
          </w:tcPr>
          <w:p w:rsidR="008B4839" w:rsidRDefault="008B4839" w:rsidP="00C12013">
            <w:pPr>
              <w:autoSpaceDE w:val="0"/>
              <w:autoSpaceDN w:val="0"/>
              <w:adjustRightInd w:val="0"/>
              <w:spacing w:after="0" w:line="240" w:lineRule="auto"/>
              <w:jc w:val="both"/>
              <w:rPr>
                <w:rFonts w:eastAsia="Times New Roman" w:cs="Arial"/>
                <w:b/>
                <w:bCs/>
                <w:sz w:val="20"/>
                <w:szCs w:val="24"/>
                <w:lang w:eastAsia="fr-FR"/>
              </w:rPr>
            </w:pPr>
            <w:r>
              <w:rPr>
                <w:rFonts w:eastAsia="Times New Roman" w:cs="Arial"/>
                <w:b/>
                <w:bCs/>
                <w:sz w:val="20"/>
                <w:szCs w:val="24"/>
                <w:lang w:eastAsia="fr-FR"/>
              </w:rPr>
              <w:t>Plan de relance</w:t>
            </w:r>
          </w:p>
        </w:tc>
        <w:tc>
          <w:tcPr>
            <w:tcW w:w="7791" w:type="dxa"/>
            <w:shd w:val="clear" w:color="auto" w:fill="auto"/>
            <w:noWrap/>
          </w:tcPr>
          <w:p w:rsidR="000214FA" w:rsidRDefault="00C00284" w:rsidP="00C00284">
            <w:pPr>
              <w:jc w:val="both"/>
              <w:rPr>
                <w:rFonts w:asciiTheme="minorHAnsi" w:hAnsiTheme="minorHAnsi" w:cstheme="minorHAnsi"/>
                <w:sz w:val="20"/>
                <w:szCs w:val="20"/>
              </w:rPr>
            </w:pPr>
            <w:r w:rsidRPr="000D75D2">
              <w:rPr>
                <w:rFonts w:asciiTheme="minorHAnsi" w:eastAsia="Times New Roman" w:hAnsiTheme="minorHAnsi" w:cstheme="minorHAnsi"/>
                <w:sz w:val="20"/>
                <w:szCs w:val="20"/>
                <w:lang w:eastAsia="fr-FR"/>
              </w:rPr>
              <w:t xml:space="preserve">Un plan de relance français a été construit pour répondre aux besoins économiques suite à la crise </w:t>
            </w:r>
            <w:proofErr w:type="spellStart"/>
            <w:r w:rsidRPr="000D75D2">
              <w:rPr>
                <w:rFonts w:asciiTheme="minorHAnsi" w:eastAsia="Times New Roman" w:hAnsiTheme="minorHAnsi" w:cstheme="minorHAnsi"/>
                <w:sz w:val="20"/>
                <w:szCs w:val="20"/>
                <w:lang w:eastAsia="fr-FR"/>
              </w:rPr>
              <w:t>Covid</w:t>
            </w:r>
            <w:proofErr w:type="spellEnd"/>
            <w:r w:rsidRPr="000D75D2">
              <w:rPr>
                <w:rFonts w:asciiTheme="minorHAnsi" w:eastAsia="Times New Roman" w:hAnsiTheme="minorHAnsi" w:cstheme="minorHAnsi"/>
                <w:sz w:val="20"/>
                <w:szCs w:val="20"/>
                <w:lang w:eastAsia="fr-FR"/>
              </w:rPr>
              <w:t xml:space="preserve">. </w:t>
            </w:r>
            <w:r w:rsidRPr="000D75D2">
              <w:rPr>
                <w:rFonts w:asciiTheme="minorHAnsi" w:hAnsiTheme="minorHAnsi" w:cstheme="minorHAnsi"/>
                <w:sz w:val="20"/>
                <w:szCs w:val="20"/>
              </w:rPr>
              <w:t xml:space="preserve">Le budget du plan de relance français, </w:t>
            </w:r>
            <w:proofErr w:type="spellStart"/>
            <w:r w:rsidRPr="000D75D2">
              <w:rPr>
                <w:rFonts w:asciiTheme="minorHAnsi" w:hAnsiTheme="minorHAnsi" w:cstheme="minorHAnsi"/>
                <w:sz w:val="20"/>
                <w:szCs w:val="20"/>
              </w:rPr>
              <w:t>co</w:t>
            </w:r>
            <w:proofErr w:type="spellEnd"/>
            <w:r w:rsidRPr="000D75D2">
              <w:rPr>
                <w:rFonts w:asciiTheme="minorHAnsi" w:hAnsiTheme="minorHAnsi" w:cstheme="minorHAnsi"/>
                <w:sz w:val="20"/>
                <w:szCs w:val="20"/>
              </w:rPr>
              <w:t xml:space="preserve"> financé avec une aide à hauteur de 40% par l’Europe, est de 100 Md d’€ (60 Mds Fr + 40 Mds UE) sur 2 ans (2021 et 2022) dont 1.2 Md d’€ pour le volet agricole. Il vise 3 grandes priorités : Ecologie/compétitivité /Cohésion. Les mesures en lien direct avec l’alimentation se situent dans le volet Ecologie (qui comporte 9 thèmes) et particulièrement le thème « Transition agricole ». Ce thème regroupe 6 sous thèmes dont celui « Accélération de la transformation du secteur agricole ».</w:t>
            </w:r>
          </w:p>
          <w:p w:rsidR="00C00284" w:rsidRPr="000D75D2" w:rsidRDefault="00C00284" w:rsidP="00C00284">
            <w:pPr>
              <w:jc w:val="both"/>
              <w:rPr>
                <w:rFonts w:asciiTheme="minorHAnsi" w:hAnsiTheme="minorHAnsi" w:cstheme="minorHAnsi"/>
                <w:sz w:val="20"/>
                <w:szCs w:val="20"/>
              </w:rPr>
            </w:pPr>
            <w:r w:rsidRPr="000D75D2">
              <w:rPr>
                <w:rFonts w:asciiTheme="minorHAnsi" w:hAnsiTheme="minorHAnsi" w:cstheme="minorHAnsi"/>
                <w:sz w:val="20"/>
                <w:szCs w:val="20"/>
              </w:rPr>
              <w:t xml:space="preserve">Les mesures alimentation du plan de relance en lien avec le projet « Ma-Cantine » sont : </w:t>
            </w:r>
          </w:p>
          <w:p w:rsidR="00C00284" w:rsidRPr="000D75D2" w:rsidRDefault="00C00284" w:rsidP="00C00284">
            <w:pPr>
              <w:pStyle w:val="Paragraphedeliste"/>
              <w:numPr>
                <w:ilvl w:val="0"/>
                <w:numId w:val="1"/>
              </w:numPr>
              <w:autoSpaceDE w:val="0"/>
              <w:autoSpaceDN w:val="0"/>
              <w:adjustRightInd w:val="0"/>
              <w:spacing w:after="0" w:line="240" w:lineRule="auto"/>
              <w:jc w:val="both"/>
              <w:rPr>
                <w:rFonts w:cstheme="minorHAnsi"/>
                <w:bCs/>
                <w:sz w:val="20"/>
                <w:szCs w:val="20"/>
              </w:rPr>
            </w:pPr>
            <w:r w:rsidRPr="000D75D2">
              <w:rPr>
                <w:rFonts w:cstheme="minorHAnsi"/>
                <w:bCs/>
                <w:sz w:val="20"/>
                <w:szCs w:val="20"/>
              </w:rPr>
              <w:t>Développer une alimentation saine, sûre, durable, de qualité et locale dans les cantines scolaires des petites communes</w:t>
            </w:r>
          </w:p>
          <w:p w:rsidR="00C00284" w:rsidRPr="000D75D2" w:rsidRDefault="00C00284" w:rsidP="00C00284">
            <w:pPr>
              <w:pStyle w:val="Paragraphedeliste"/>
              <w:numPr>
                <w:ilvl w:val="0"/>
                <w:numId w:val="1"/>
              </w:numPr>
              <w:autoSpaceDE w:val="0"/>
              <w:autoSpaceDN w:val="0"/>
              <w:adjustRightInd w:val="0"/>
              <w:spacing w:after="0" w:line="240" w:lineRule="auto"/>
              <w:jc w:val="both"/>
              <w:rPr>
                <w:rFonts w:cstheme="minorHAnsi"/>
                <w:bCs/>
                <w:sz w:val="20"/>
                <w:szCs w:val="20"/>
              </w:rPr>
            </w:pPr>
            <w:r w:rsidRPr="000D75D2">
              <w:rPr>
                <w:rFonts w:cstheme="minorHAnsi"/>
                <w:bCs/>
                <w:sz w:val="20"/>
                <w:szCs w:val="20"/>
              </w:rPr>
              <w:t>Structurer les filières locales grâce aux des projets alimentaires territoriaux (PAT).</w:t>
            </w:r>
          </w:p>
          <w:p w:rsidR="00C00284" w:rsidRPr="000D75D2" w:rsidRDefault="00C00284" w:rsidP="00C00284">
            <w:pPr>
              <w:autoSpaceDE w:val="0"/>
              <w:autoSpaceDN w:val="0"/>
              <w:adjustRightInd w:val="0"/>
              <w:spacing w:after="0" w:line="240" w:lineRule="auto"/>
              <w:jc w:val="both"/>
              <w:rPr>
                <w:rFonts w:asciiTheme="minorHAnsi" w:hAnsiTheme="minorHAnsi" w:cstheme="minorHAnsi"/>
                <w:sz w:val="20"/>
                <w:szCs w:val="20"/>
              </w:rPr>
            </w:pPr>
            <w:r w:rsidRPr="000D75D2">
              <w:rPr>
                <w:rFonts w:asciiTheme="minorHAnsi" w:hAnsiTheme="minorHAnsi" w:cstheme="minorHAnsi"/>
                <w:bCs/>
                <w:sz w:val="20"/>
                <w:szCs w:val="20"/>
              </w:rPr>
              <w:t>Ces mesures peuvent apporter des moyens en terme d’investissements aux cantines scolaires et plus largement aux structures de restauration collective.</w:t>
            </w:r>
          </w:p>
          <w:p w:rsidR="008B4839" w:rsidRDefault="008B4839" w:rsidP="00C12013">
            <w:pPr>
              <w:autoSpaceDE w:val="0"/>
              <w:autoSpaceDN w:val="0"/>
              <w:adjustRightInd w:val="0"/>
              <w:spacing w:after="0" w:line="240" w:lineRule="auto"/>
              <w:jc w:val="both"/>
              <w:rPr>
                <w:rFonts w:eastAsia="Times New Roman" w:cs="Arial"/>
                <w:sz w:val="20"/>
                <w:szCs w:val="24"/>
                <w:lang w:eastAsia="fr-FR"/>
              </w:rPr>
            </w:pPr>
          </w:p>
        </w:tc>
      </w:tr>
    </w:tbl>
    <w:p w:rsidR="00695B8D" w:rsidRDefault="00695B8D"/>
    <w:sectPr w:rsidR="00695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31ECA"/>
    <w:multiLevelType w:val="hybridMultilevel"/>
    <w:tmpl w:val="8710D296"/>
    <w:lvl w:ilvl="0" w:tplc="165896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F9"/>
    <w:rsid w:val="00021410"/>
    <w:rsid w:val="000214FA"/>
    <w:rsid w:val="0002155B"/>
    <w:rsid w:val="000D3779"/>
    <w:rsid w:val="000F5C0B"/>
    <w:rsid w:val="002D4986"/>
    <w:rsid w:val="003516BA"/>
    <w:rsid w:val="00383A2B"/>
    <w:rsid w:val="003C0C1F"/>
    <w:rsid w:val="0041169E"/>
    <w:rsid w:val="00441E60"/>
    <w:rsid w:val="0048596F"/>
    <w:rsid w:val="00532CF9"/>
    <w:rsid w:val="00695B8D"/>
    <w:rsid w:val="007151A0"/>
    <w:rsid w:val="007B22E8"/>
    <w:rsid w:val="007D5E2A"/>
    <w:rsid w:val="007F27EB"/>
    <w:rsid w:val="0081647E"/>
    <w:rsid w:val="008B4839"/>
    <w:rsid w:val="00944D55"/>
    <w:rsid w:val="0097763B"/>
    <w:rsid w:val="009950EE"/>
    <w:rsid w:val="00B648DE"/>
    <w:rsid w:val="00C00284"/>
    <w:rsid w:val="00C83DF1"/>
    <w:rsid w:val="00CE3E00"/>
    <w:rsid w:val="00D91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33A9"/>
  <w15:chartTrackingRefBased/>
  <w15:docId w15:val="{CB69995D-74E3-4256-B576-B28951F4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B8D"/>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32CF9"/>
    <w:rPr>
      <w:color w:val="0563C1"/>
      <w:u w:val="single"/>
    </w:rPr>
  </w:style>
  <w:style w:type="paragraph" w:styleId="Paragraphedeliste">
    <w:name w:val="List Paragraph"/>
    <w:basedOn w:val="Normal"/>
    <w:uiPriority w:val="34"/>
    <w:qFormat/>
    <w:rsid w:val="00C0028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iculture.gouv.fr/alimagri-les-etats-generaux-de-laliment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691</Words>
  <Characters>3805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Ministère de l'Agriculture et de l'Alimentation</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MERLE</dc:creator>
  <cp:keywords/>
  <dc:description/>
  <cp:lastModifiedBy>Valerie MERLE</cp:lastModifiedBy>
  <cp:revision>17</cp:revision>
  <dcterms:created xsi:type="dcterms:W3CDTF">2020-12-22T12:01:00Z</dcterms:created>
  <dcterms:modified xsi:type="dcterms:W3CDTF">2021-01-04T20:34:00Z</dcterms:modified>
</cp:coreProperties>
</file>