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773739" cy="3381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739" cy="33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Lancement d’une phase d’investigation</w:t>
      </w:r>
      <w:r w:rsidDel="00000000" w:rsidR="00000000" w:rsidRPr="00000000">
        <w:rPr>
          <w:rFonts w:ascii="Helvetica Neue Light" w:cs="Helvetica Neue Light" w:eastAsia="Helvetica Neue Light" w:hAnsi="Helvetica Neue Light"/>
          <w:sz w:val="36"/>
          <w:szCs w:val="36"/>
          <w:rtl w:val="0"/>
        </w:rPr>
        <w:br w:type="textWrapping"/>
        <w:t xml:space="preserve">Engagement du sponsor</w:t>
      </w:r>
    </w:p>
    <w:p w:rsidR="00000000" w:rsidDel="00000000" w:rsidP="00000000" w:rsidRDefault="00000000" w:rsidRPr="00000000" w14:paraId="00000004">
      <w:pPr>
        <w:widowControl w:val="1"/>
        <w:spacing w:after="0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jc w:val="center"/>
        <w:rPr>
          <w:rFonts w:ascii="Helvetica Neue Light" w:cs="Helvetica Neue Light" w:eastAsia="Helvetica Neue Light" w:hAnsi="Helvetica Neue Light"/>
          <w:i w:val="1"/>
          <w:sz w:val="20"/>
          <w:szCs w:val="20"/>
          <w:shd w:fill="d9ead3" w:val="clear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shd w:fill="d9ead3" w:val="clear"/>
          <w:rtl w:val="0"/>
        </w:rPr>
        <w:t xml:space="preserve">Ce document complété est à renvoyer par mail à contact@beta.gouv.fr, par le sponsor, afin de lancer la phase d’investigation.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shd w:fill="fff2cc" w:val="clear"/>
          <w:rtl w:val="0"/>
        </w:rPr>
        <w:t xml:space="preserve">partenaire [à remplacer]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 (le partenaire) souhaite lancer une phase d’investigation menée dans le cadre du programme beta.gouv.fr (Direction interministérielle du numérique - DINUM). Dans le cadre de cet accompagnement, les équipes de beta.gouv.fr accompagneront le partenaire pendant 9 à 12 semaines pour mieux cerner le problème de politique publique à résoudre et à mieux comprendre les besoins des utilisateurs en vue de déterminer le service le plus utile à développer. </w:t>
      </w:r>
    </w:p>
    <w:p w:rsidR="00000000" w:rsidDel="00000000" w:rsidP="00000000" w:rsidRDefault="00000000" w:rsidRPr="00000000" w14:paraId="00000008">
      <w:pPr>
        <w:jc w:val="both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Le problème à investiguer est le suivant : </w:t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Description du problème</w:t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La démarche beta.gouv.fr vient bousculer les manières de faire habituelles de l’administration. Afin de garantir une collaboration efficace, il est nécessaire qu’un “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sponsor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” adhère à cette démarche. Le sponsor est en général le directeur ou à la directrice de l’organisme public partenaire.</w:t>
      </w:r>
    </w:p>
    <w:p w:rsidR="00000000" w:rsidDel="00000000" w:rsidP="00000000" w:rsidRDefault="00000000" w:rsidRPr="00000000" w14:paraId="0000000C">
      <w:pPr>
        <w:jc w:val="both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Le sponsor est : </w:t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Nom, titre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L’agent public qui endossera le rôle d’intrapreneur au moins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shd w:fill="fff2cc" w:val="clear"/>
          <w:rtl w:val="0"/>
        </w:rPr>
        <w:t xml:space="preserve">XX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 jour(s) par semaine dans le cadre de cette investigation est : </w:t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Nom, titre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910"/>
        <w:tblGridChange w:id="0">
          <w:tblGrid>
            <w:gridCol w:w="1605"/>
            <w:gridCol w:w="8910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En tant que sponsor, 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J’ai bien compris le </w:t>
            </w:r>
            <w:hyperlink r:id="rId8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fonctionnement du programme beta.gouv.fr</w:t>
              </w:r>
            </w:hyperlink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 et ses </w:t>
            </w:r>
            <w:hyperlink r:id="rId9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partis pris principaux</w:t>
              </w:r>
            </w:hyperlink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 : les besoins des utilisateurs avant ceux de l’administration, une équipe autonome, un service qui commence petit et qui grandit et s’améliore en continue au fil des retours des utilisateurs.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J’ai bien compris qu’il est possible que la </w:t>
            </w:r>
            <w:hyperlink r:id="rId10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phase d’investigation</w:t>
              </w:r>
            </w:hyperlink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 vise à valider le problème et non pas à confirmer une solution pressentie. Elle ne vise pas à établir un cahier des charges (pas d’étude amont, étude d’opportunité, étude de faisabilité ou étude détaillée) ni une feuille de route pour développer une solution pressentie.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En particulier, il est possible que la phase d’investigation aboutisse à un des constats suivants :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le problème n’est pas assez universel ou criant pour justifier le développement d’un service numérique ;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l’investigation aboutit sur une hypothèse de solution, mais beta.gouv.fr n’est pas compétent pour accompagner la construction de la solution adéquate ;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le problème identifié est trop large, ce qui nécessite de le circonscrire à un problème plus petit pour espérer avoir un impact mesurable.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Je m’impliquerai personnellement pour aider l’équipe 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en protégeant son autonomie quand c’est nécessaire ;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en me rendant disponible pour que l’intrapreneur puisse rapporter directement à moi plutôt qu’à sa hiérarchie habituelle ;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en participant au déblocage des obstacles identifiés par l’équipe ;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en participant au comité d’investissement où l’équipe présentera les résultats de l’investigation.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lin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794" w:lineRule="auto"/>
      <w:ind w:right="-2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before="72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au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te">
    <w:name w:val="header"/>
    <w:basedOn w:val="Normal"/>
    <w:link w:val="En-tteCar"/>
    <w:uiPriority w:val="99"/>
    <w:unhideWhenUsed w:val="1"/>
    <w:rsid w:val="00F30E4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F30E43"/>
  </w:style>
  <w:style w:type="paragraph" w:styleId="Pieddepage">
    <w:name w:val="footer"/>
    <w:basedOn w:val="Normal"/>
    <w:link w:val="PieddepageCar"/>
    <w:uiPriority w:val="99"/>
    <w:unhideWhenUsed w:val="1"/>
    <w:rsid w:val="00F30E4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F30E4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beta.gouv.fr/approche/investigation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ta.gouv.fr/approche/manifeste" TargetMode="External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beta.gouv.fr/approch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JWSXu6u6NVag02K3iq2CpGx3A==">AMUW2mWBJOMgFsjgFYCLuSnIaLGfEP528eciMqZIWWLQq/btWUXwO3xiMM93eBqRQTHT/GQS87wMSshbUNi6fVf6ZWNcWHuQhwitVQW61uydGfFFOT5LoPU=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2020-01-15T17:28:00Z</dcterms:created>
  <dc:creator>M. Luc MATHIS</dc:creator>
</cp:coreProperties>
</file>