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B4823C"/>
          <w:sz w:val="19"/>
        </w:rPr>
        <w:t>DSO 576 | MODULE 6 | Individual Homework Deliverable</w:t>
      </w:r>
    </w:p>
    <w:p>
      <w:pPr>
        <w:spacing w:before="40" w:after="80"/>
      </w:pPr>
      <w:r>
        <w:rPr>
          <w:b/>
          <w:color w:val="1B365D"/>
          <w:sz w:val="44"/>
        </w:rPr>
        <w:t>Project Data Cleaning Assignment</w:t>
      </w:r>
    </w:p>
    <w:p>
      <w:pPr>
        <w:spacing w:after="160"/>
      </w:pPr>
      <w:r>
        <w:rPr>
          <w:b/>
          <w:color w:val="212121"/>
          <w:sz w:val="21"/>
        </w:rPr>
        <w:t>Project: Consumer Strategy, Food and Agriculture — CPG Global Entry Strategy</w:t>
        <w:br/>
        <w:t>Student: Benjamin (Ru Yi) Cai (GitHub: betakappa123) | Team: Wendy S (WendyS-28)</w:t>
      </w:r>
    </w:p>
    <w:tbl>
      <w:tblPr>
        <w:tblW w:type="auto" w:w="0"/>
        <w:jc w:val="center"/>
        <w:tblLook w:firstColumn="1" w:firstRow="1" w:lastColumn="0" w:lastRow="0" w:noHBand="0" w:noVBand="1" w:val="04A0"/>
      </w:tblPr>
      <w:tblGrid>
        <w:gridCol w:w="10224"/>
      </w:tblGrid>
      <w:tr>
        <w:tc>
          <w:tcPr>
            <w:tcW w:type="dxa" w:w="10224"/>
            <w:shd w:fill="EBF3FA"/>
            <w:tcMar>
              <w:top w:w="100" w:type="dxa"/>
              <w:bottom w:w="100" w:type="dxa"/>
              <w:left w:w="150" w:type="dxa"/>
              <w:right w:w="150" w:type="dxa"/>
            </w:tcMar>
          </w:tcPr>
          <w:p>
            <w:pPr>
              <w:spacing w:after="0"/>
            </w:pPr>
            <w:r>
              <w:rPr>
                <w:b/>
                <w:color w:val="1B365D"/>
                <w:sz w:val="19"/>
              </w:rPr>
              <w:t>Which branch did you push to GitHub? cleaning-ben</w:t>
              <w:br/>
              <w:t>Branch URL: https://github.com/betakappa123/cpg-global-entry-strategy/tree/cleaning-ben</w:t>
              <w:br/>
              <w:t>Commit ID: afdfe60bf84efeae7688d00dd1fce84483c9c244</w:t>
              <w:br/>
              <w:t>Notebook Artifact: DATA/Datacleaner.ipynb | Clean Datasets: DATA/clean/</w:t>
            </w:r>
          </w:p>
        </w:tc>
      </w:tr>
    </w:tbl>
    <w:p>
      <w:pPr>
        <w:spacing w:before="280" w:after="80"/>
      </w:pPr>
      <w:r>
        <w:rPr>
          <w:b/>
          <w:color w:val="1B365D"/>
          <w:sz w:val="30"/>
        </w:rPr>
        <w:t>1. Cleaning Decision Log (Rule, Reason, Check)</w:t>
      </w:r>
    </w:p>
    <w:tbl>
      <w:tblPr>
        <w:tblW w:type="auto" w:w="0"/>
        <w:jc w:val="center"/>
        <w:tblLook w:firstColumn="1" w:firstRow="1" w:lastColumn="0" w:lastRow="0" w:noHBand="0" w:noVBand="1" w:val="04A0"/>
      </w:tblPr>
      <w:tblGrid>
        <w:gridCol w:w="2556"/>
        <w:gridCol w:w="2556"/>
        <w:gridCol w:w="2556"/>
        <w:gridCol w:w="2556"/>
      </w:tblGrid>
      <w:tr>
        <w:tc>
          <w:tcPr>
            <w:tcW w:type="dxa" w:w="2556"/>
            <w:shd w:fill="1B365D"/>
            <w:tcMar>
              <w:top w:w="60" w:type="dxa"/>
              <w:bottom w:w="60" w:type="dxa"/>
              <w:left w:w="90" w:type="dxa"/>
              <w:right w:w="90" w:type="dxa"/>
            </w:tcMar>
          </w:tcPr>
          <w:p>
            <w:pPr>
              <w:spacing w:after="0"/>
            </w:pPr>
            <w:r>
              <w:rPr>
                <w:b/>
                <w:color w:val="FFFFFF"/>
                <w:sz w:val="16"/>
              </w:rPr>
              <w:t>Rule ID</w:t>
            </w:r>
          </w:p>
        </w:tc>
        <w:tc>
          <w:tcPr>
            <w:tcW w:type="dxa" w:w="2556"/>
            <w:shd w:fill="1B365D"/>
            <w:tcMar>
              <w:top w:w="60" w:type="dxa"/>
              <w:bottom w:w="60" w:type="dxa"/>
              <w:left w:w="90" w:type="dxa"/>
              <w:right w:w="90" w:type="dxa"/>
            </w:tcMar>
          </w:tcPr>
          <w:p>
            <w:pPr>
              <w:spacing w:after="0"/>
            </w:pPr>
            <w:r>
              <w:rPr>
                <w:b/>
                <w:color w:val="FFFFFF"/>
                <w:sz w:val="16"/>
              </w:rPr>
              <w:t>Cleaning Rule</w:t>
            </w:r>
          </w:p>
        </w:tc>
        <w:tc>
          <w:tcPr>
            <w:tcW w:type="dxa" w:w="2556"/>
            <w:shd w:fill="1B365D"/>
            <w:tcMar>
              <w:top w:w="60" w:type="dxa"/>
              <w:bottom w:w="60" w:type="dxa"/>
              <w:left w:w="90" w:type="dxa"/>
              <w:right w:w="90" w:type="dxa"/>
            </w:tcMar>
          </w:tcPr>
          <w:p>
            <w:pPr>
              <w:spacing w:after="0"/>
            </w:pPr>
            <w:r>
              <w:rPr>
                <w:b/>
                <w:color w:val="FFFFFF"/>
                <w:sz w:val="16"/>
              </w:rPr>
              <w:t>Rationale / Reason</w:t>
            </w:r>
          </w:p>
        </w:tc>
        <w:tc>
          <w:tcPr>
            <w:tcW w:type="dxa" w:w="2556"/>
            <w:shd w:fill="1B365D"/>
            <w:tcMar>
              <w:top w:w="60" w:type="dxa"/>
              <w:bottom w:w="60" w:type="dxa"/>
              <w:left w:w="90" w:type="dxa"/>
              <w:right w:w="90" w:type="dxa"/>
            </w:tcMar>
          </w:tcPr>
          <w:p>
            <w:pPr>
              <w:spacing w:after="0"/>
            </w:pPr>
            <w:r>
              <w:rPr>
                <w:b/>
                <w:color w:val="FFFFFF"/>
                <w:sz w:val="16"/>
              </w:rPr>
              <w:t>Verification Check</w:t>
            </w:r>
          </w:p>
        </w:tc>
      </w:tr>
      <w:tr>
        <w:tc>
          <w:tcPr>
            <w:tcW w:type="dxa" w:w="2556"/>
            <w:shd w:fill="FFFFFF"/>
            <w:tcMar>
              <w:top w:w="50" w:type="dxa"/>
              <w:bottom w:w="50" w:type="dxa"/>
              <w:left w:w="80" w:type="dxa"/>
              <w:right w:w="80" w:type="dxa"/>
            </w:tcMar>
          </w:tcPr>
          <w:p>
            <w:pPr>
              <w:spacing w:after="0"/>
            </w:pPr>
            <w:r>
              <w:rPr>
                <w:color w:val="212121"/>
                <w:sz w:val="16"/>
              </w:rPr>
              <w:t>R1</w:t>
            </w:r>
          </w:p>
        </w:tc>
        <w:tc>
          <w:tcPr>
            <w:tcW w:type="dxa" w:w="2556"/>
            <w:shd w:fill="FFFFFF"/>
            <w:tcMar>
              <w:top w:w="50" w:type="dxa"/>
              <w:bottom w:w="50" w:type="dxa"/>
              <w:left w:w="80" w:type="dxa"/>
              <w:right w:w="80" w:type="dxa"/>
            </w:tcMar>
          </w:tcPr>
          <w:p>
            <w:pPr>
              <w:spacing w:after="0"/>
            </w:pPr>
            <w:r>
              <w:rPr>
                <w:color w:val="212121"/>
                <w:sz w:val="16"/>
              </w:rPr>
              <w:t>Header &amp; Footer Boundary Isolation</w:t>
            </w:r>
          </w:p>
        </w:tc>
        <w:tc>
          <w:tcPr>
            <w:tcW w:type="dxa" w:w="2556"/>
            <w:shd w:fill="FFFFFF"/>
            <w:tcMar>
              <w:top w:w="50" w:type="dxa"/>
              <w:bottom w:w="50" w:type="dxa"/>
              <w:left w:w="80" w:type="dxa"/>
              <w:right w:w="80" w:type="dxa"/>
            </w:tcMar>
          </w:tcPr>
          <w:p>
            <w:pPr>
              <w:spacing w:after="0"/>
            </w:pPr>
            <w:r>
              <w:rPr>
                <w:color w:val="212121"/>
                <w:sz w:val="16"/>
              </w:rPr>
              <w:t>Euromonitor exports contain title blocks in rows 0-4 and multi-row research/copyright footers that corrupt table parsing if ingested blindly.</w:t>
            </w:r>
          </w:p>
        </w:tc>
        <w:tc>
          <w:tcPr>
            <w:tcW w:type="dxa" w:w="2556"/>
            <w:shd w:fill="FFFFFF"/>
            <w:tcMar>
              <w:top w:w="50" w:type="dxa"/>
              <w:bottom w:w="50" w:type="dxa"/>
              <w:left w:w="80" w:type="dxa"/>
              <w:right w:w="80" w:type="dxa"/>
            </w:tcMar>
          </w:tcPr>
          <w:p>
            <w:pPr>
              <w:spacing w:after="0"/>
            </w:pPr>
            <w:r>
              <w:rPr>
                <w:color w:val="212121"/>
                <w:sz w:val="16"/>
              </w:rPr>
              <w:t>Dynamically detect Geography header at row 5; terminate ingest at footer boundary ('Research Sources:'). Verified data row counts: 72, 864, 530, 7209.</w:t>
            </w:r>
          </w:p>
        </w:tc>
      </w:tr>
      <w:tr>
        <w:tc>
          <w:tcPr>
            <w:tcW w:type="dxa" w:w="2556"/>
            <w:shd w:fill="F7F9FC"/>
            <w:tcMar>
              <w:top w:w="50" w:type="dxa"/>
              <w:bottom w:w="50" w:type="dxa"/>
              <w:left w:w="80" w:type="dxa"/>
              <w:right w:w="80" w:type="dxa"/>
            </w:tcMar>
          </w:tcPr>
          <w:p>
            <w:pPr>
              <w:spacing w:after="0"/>
            </w:pPr>
            <w:r>
              <w:rPr>
                <w:color w:val="212121"/>
                <w:sz w:val="16"/>
              </w:rPr>
              <w:t>R2</w:t>
            </w:r>
          </w:p>
        </w:tc>
        <w:tc>
          <w:tcPr>
            <w:tcW w:type="dxa" w:w="2556"/>
            <w:shd w:fill="F7F9FC"/>
            <w:tcMar>
              <w:top w:w="50" w:type="dxa"/>
              <w:bottom w:w="50" w:type="dxa"/>
              <w:left w:w="80" w:type="dxa"/>
              <w:right w:w="80" w:type="dxa"/>
            </w:tcMar>
          </w:tcPr>
          <w:p>
            <w:pPr>
              <w:spacing w:after="0"/>
            </w:pPr>
            <w:r>
              <w:rPr>
                <w:color w:val="212121"/>
                <w:sz w:val="16"/>
              </w:rPr>
              <w:t>Non-Destructive Source Ingestion</w:t>
            </w:r>
          </w:p>
        </w:tc>
        <w:tc>
          <w:tcPr>
            <w:tcW w:type="dxa" w:w="2556"/>
            <w:shd w:fill="F7F9FC"/>
            <w:tcMar>
              <w:top w:w="50" w:type="dxa"/>
              <w:bottom w:w="50" w:type="dxa"/>
              <w:left w:w="80" w:type="dxa"/>
              <w:right w:w="80" w:type="dxa"/>
            </w:tcMar>
          </w:tcPr>
          <w:p>
            <w:pPr>
              <w:spacing w:after="0"/>
            </w:pPr>
            <w:r>
              <w:rPr>
                <w:color w:val="212121"/>
                <w:sz w:val="16"/>
              </w:rPr>
              <w:t>Raw source files must remain 100% unchanged, reproducible, and verifiable.</w:t>
            </w:r>
          </w:p>
        </w:tc>
        <w:tc>
          <w:tcPr>
            <w:tcW w:type="dxa" w:w="2556"/>
            <w:shd w:fill="F7F9FC"/>
            <w:tcMar>
              <w:top w:w="50" w:type="dxa"/>
              <w:bottom w:w="50" w:type="dxa"/>
              <w:left w:w="80" w:type="dxa"/>
              <w:right w:w="80" w:type="dxa"/>
            </w:tcMar>
          </w:tcPr>
          <w:p>
            <w:pPr>
              <w:spacing w:after="0"/>
            </w:pPr>
            <w:r>
              <w:rPr>
                <w:color w:val="212121"/>
                <w:sz w:val="16"/>
              </w:rPr>
              <w:t>Ingest raw .xls files in read-only mode via xlrd; execute cleaning in-memory; export clean files to separate DATA/clean/ directory.</w:t>
            </w:r>
          </w:p>
        </w:tc>
      </w:tr>
      <w:tr>
        <w:tc>
          <w:tcPr>
            <w:tcW w:type="dxa" w:w="2556"/>
            <w:shd w:fill="FFFFFF"/>
            <w:tcMar>
              <w:top w:w="50" w:type="dxa"/>
              <w:bottom w:w="50" w:type="dxa"/>
              <w:left w:w="80" w:type="dxa"/>
              <w:right w:w="80" w:type="dxa"/>
            </w:tcMar>
          </w:tcPr>
          <w:p>
            <w:pPr>
              <w:spacing w:after="0"/>
            </w:pPr>
            <w:r>
              <w:rPr>
                <w:color w:val="212121"/>
                <w:sz w:val="16"/>
              </w:rPr>
              <w:t>R3</w:t>
            </w:r>
          </w:p>
        </w:tc>
        <w:tc>
          <w:tcPr>
            <w:tcW w:type="dxa" w:w="2556"/>
            <w:shd w:fill="FFFFFF"/>
            <w:tcMar>
              <w:top w:w="50" w:type="dxa"/>
              <w:bottom w:w="50" w:type="dxa"/>
              <w:left w:w="80" w:type="dxa"/>
              <w:right w:w="80" w:type="dxa"/>
            </w:tcMar>
          </w:tcPr>
          <w:p>
            <w:pPr>
              <w:spacing w:after="0"/>
            </w:pPr>
            <w:r>
              <w:rPr>
                <w:color w:val="212121"/>
                <w:sz w:val="16"/>
              </w:rPr>
              <w:t>Text Standardization &amp; Whitespace Cleaning</w:t>
            </w:r>
          </w:p>
        </w:tc>
        <w:tc>
          <w:tcPr>
            <w:tcW w:type="dxa" w:w="2556"/>
            <w:shd w:fill="FFFFFF"/>
            <w:tcMar>
              <w:top w:w="50" w:type="dxa"/>
              <w:bottom w:w="50" w:type="dxa"/>
              <w:left w:w="80" w:type="dxa"/>
              <w:right w:w="80" w:type="dxa"/>
            </w:tcMar>
          </w:tcPr>
          <w:p>
            <w:pPr>
              <w:spacing w:after="0"/>
            </w:pPr>
            <w:r>
              <w:rPr>
                <w:color w:val="212121"/>
                <w:sz w:val="16"/>
              </w:rPr>
              <w:t>Pack type.xls (9 rows) and Pack Size.xls (56 rows) had 'PET Jars ' with trailing whitespace, breaking equality joins.</w:t>
            </w:r>
          </w:p>
        </w:tc>
        <w:tc>
          <w:tcPr>
            <w:tcW w:type="dxa" w:w="2556"/>
            <w:shd w:fill="FFFFFF"/>
            <w:tcMar>
              <w:top w:w="50" w:type="dxa"/>
              <w:bottom w:w="50" w:type="dxa"/>
              <w:left w:w="80" w:type="dxa"/>
              <w:right w:w="80" w:type="dxa"/>
            </w:tcMar>
          </w:tcPr>
          <w:p>
            <w:pPr>
              <w:spacing w:after="0"/>
            </w:pPr>
            <w:r>
              <w:rPr>
                <w:color w:val="212121"/>
                <w:sz w:val="16"/>
              </w:rPr>
              <w:t>Strip leading/trailing whitespace across all text columns. Standardized 'PET Jars ' -&gt; 'PET Jars'. Post-cleaning whitespace audit confirmed 0 remaining anomalies.</w:t>
            </w:r>
          </w:p>
        </w:tc>
      </w:tr>
      <w:tr>
        <w:tc>
          <w:tcPr>
            <w:tcW w:type="dxa" w:w="2556"/>
            <w:shd w:fill="F7F9FC"/>
            <w:tcMar>
              <w:top w:w="50" w:type="dxa"/>
              <w:bottom w:w="50" w:type="dxa"/>
              <w:left w:w="80" w:type="dxa"/>
              <w:right w:w="80" w:type="dxa"/>
            </w:tcMar>
          </w:tcPr>
          <w:p>
            <w:pPr>
              <w:spacing w:after="0"/>
            </w:pPr>
            <w:r>
              <w:rPr>
                <w:color w:val="212121"/>
                <w:sz w:val="16"/>
              </w:rPr>
              <w:t>R4</w:t>
            </w:r>
          </w:p>
        </w:tc>
        <w:tc>
          <w:tcPr>
            <w:tcW w:type="dxa" w:w="2556"/>
            <w:shd w:fill="F7F9FC"/>
            <w:tcMar>
              <w:top w:w="50" w:type="dxa"/>
              <w:bottom w:w="50" w:type="dxa"/>
              <w:left w:w="80" w:type="dxa"/>
              <w:right w:w="80" w:type="dxa"/>
            </w:tcMar>
          </w:tcPr>
          <w:p>
            <w:pPr>
              <w:spacing w:after="0"/>
            </w:pPr>
            <w:r>
              <w:rPr>
                <w:color w:val="212121"/>
                <w:sz w:val="16"/>
              </w:rPr>
              <w:t>Selective Hyphen / Missing Data Treatment</w:t>
            </w:r>
          </w:p>
        </w:tc>
        <w:tc>
          <w:tcPr>
            <w:tcW w:type="dxa" w:w="2556"/>
            <w:shd w:fill="F7F9FC"/>
            <w:tcMar>
              <w:top w:w="50" w:type="dxa"/>
              <w:bottom w:w="50" w:type="dxa"/>
              <w:left w:w="80" w:type="dxa"/>
              <w:right w:w="80" w:type="dxa"/>
            </w:tcMar>
          </w:tcPr>
          <w:p>
            <w:pPr>
              <w:spacing w:after="0"/>
            </w:pPr>
            <w:r>
              <w:rPr>
                <w:color w:val="212121"/>
                <w:sz w:val="16"/>
              </w:rPr>
              <w:t>Text hyphens '-' represent two distinct realities: (a) genuinely unobserved markets (India RTD), vs (b) non-existent/inactive retail channels.</w:t>
            </w:r>
          </w:p>
        </w:tc>
        <w:tc>
          <w:tcPr>
            <w:tcW w:type="dxa" w:w="2556"/>
            <w:shd w:fill="F7F9FC"/>
            <w:tcMar>
              <w:top w:w="50" w:type="dxa"/>
              <w:bottom w:w="50" w:type="dxa"/>
              <w:left w:w="80" w:type="dxa"/>
              <w:right w:w="80" w:type="dxa"/>
            </w:tcMar>
          </w:tcPr>
          <w:p>
            <w:pPr>
              <w:spacing w:after="0"/>
            </w:pPr>
            <w:r>
              <w:rPr>
                <w:color w:val="212121"/>
                <w:sz w:val="16"/>
              </w:rPr>
              <w:t>In Retail channels, hyphens treated as 0.0% volume share. In Market Sizes, India RTD hyphens kept strictly as NaN to prevent false zero consumption reporting.</w:t>
            </w:r>
          </w:p>
        </w:tc>
      </w:tr>
      <w:tr>
        <w:tc>
          <w:tcPr>
            <w:tcW w:type="dxa" w:w="2556"/>
            <w:shd w:fill="FFFFFF"/>
            <w:tcMar>
              <w:top w:w="50" w:type="dxa"/>
              <w:bottom w:w="50" w:type="dxa"/>
              <w:left w:w="80" w:type="dxa"/>
              <w:right w:w="80" w:type="dxa"/>
            </w:tcMar>
          </w:tcPr>
          <w:p>
            <w:pPr>
              <w:spacing w:after="0"/>
            </w:pPr>
            <w:r>
              <w:rPr>
                <w:color w:val="212121"/>
                <w:sz w:val="16"/>
              </w:rPr>
              <w:t>R5</w:t>
            </w:r>
          </w:p>
        </w:tc>
        <w:tc>
          <w:tcPr>
            <w:tcW w:type="dxa" w:w="2556"/>
            <w:shd w:fill="FFFFFF"/>
            <w:tcMar>
              <w:top w:w="50" w:type="dxa"/>
              <w:bottom w:w="50" w:type="dxa"/>
              <w:left w:w="80" w:type="dxa"/>
              <w:right w:w="80" w:type="dxa"/>
            </w:tcMar>
          </w:tcPr>
          <w:p>
            <w:pPr>
              <w:spacing w:after="0"/>
            </w:pPr>
            <w:r>
              <w:rPr>
                <w:color w:val="212121"/>
                <w:sz w:val="16"/>
              </w:rPr>
              <w:t>Semantic Duplicate Total Removal</w:t>
            </w:r>
          </w:p>
        </w:tc>
        <w:tc>
          <w:tcPr>
            <w:tcW w:type="dxa" w:w="2556"/>
            <w:shd w:fill="FFFFFF"/>
            <w:tcMar>
              <w:top w:w="50" w:type="dxa"/>
              <w:bottom w:w="50" w:type="dxa"/>
              <w:left w:w="80" w:type="dxa"/>
              <w:right w:w="80" w:type="dxa"/>
            </w:tcMar>
          </w:tcPr>
          <w:p>
            <w:pPr>
              <w:spacing w:after="0"/>
            </w:pPr>
            <w:r>
              <w:rPr>
                <w:color w:val="212121"/>
                <w:sz w:val="16"/>
              </w:rPr>
              <w:t>In Retail channels.xls, both Outlet Type == 'Retail Channels' and Outlet Type == 'Total' report identical values (100.0% across all years), causing potential double counting.</w:t>
            </w:r>
          </w:p>
        </w:tc>
        <w:tc>
          <w:tcPr>
            <w:tcW w:type="dxa" w:w="2556"/>
            <w:shd w:fill="FFFFFF"/>
            <w:tcMar>
              <w:top w:w="50" w:type="dxa"/>
              <w:bottom w:w="50" w:type="dxa"/>
              <w:left w:w="80" w:type="dxa"/>
              <w:right w:w="80" w:type="dxa"/>
            </w:tcMar>
          </w:tcPr>
          <w:p>
            <w:pPr>
              <w:spacing w:after="0"/>
            </w:pPr>
            <w:r>
              <w:rPr>
                <w:color w:val="212121"/>
                <w:sz w:val="16"/>
              </w:rPr>
              <w:t>Confirmed max absolute difference between 'Retail Channels' and 'Total' is 0.0 across all 385 comparisons. Dropped redundant 'Total' rows (396 tidy rows) from analytical merged files.</w:t>
            </w:r>
          </w:p>
        </w:tc>
      </w:tr>
      <w:tr>
        <w:tc>
          <w:tcPr>
            <w:tcW w:type="dxa" w:w="2556"/>
            <w:shd w:fill="F7F9FC"/>
            <w:tcMar>
              <w:top w:w="50" w:type="dxa"/>
              <w:bottom w:w="50" w:type="dxa"/>
              <w:left w:w="80" w:type="dxa"/>
              <w:right w:w="80" w:type="dxa"/>
            </w:tcMar>
          </w:tcPr>
          <w:p>
            <w:pPr>
              <w:spacing w:after="0"/>
            </w:pPr>
            <w:r>
              <w:rPr>
                <w:color w:val="212121"/>
                <w:sz w:val="16"/>
              </w:rPr>
              <w:t>R6</w:t>
            </w:r>
          </w:p>
        </w:tc>
        <w:tc>
          <w:tcPr>
            <w:tcW w:type="dxa" w:w="2556"/>
            <w:shd w:fill="F7F9FC"/>
            <w:tcMar>
              <w:top w:w="50" w:type="dxa"/>
              <w:bottom w:w="50" w:type="dxa"/>
              <w:left w:w="80" w:type="dxa"/>
              <w:right w:w="80" w:type="dxa"/>
            </w:tcMar>
          </w:tcPr>
          <w:p>
            <w:pPr>
              <w:spacing w:after="0"/>
            </w:pPr>
            <w:r>
              <w:rPr>
                <w:color w:val="212121"/>
                <w:sz w:val="16"/>
              </w:rPr>
              <w:t>Currency Scaling &amp; FX Inconsistency Protection</w:t>
            </w:r>
          </w:p>
        </w:tc>
        <w:tc>
          <w:tcPr>
            <w:tcW w:type="dxa" w:w="2556"/>
            <w:shd w:fill="F7F9FC"/>
            <w:tcMar>
              <w:top w:w="50" w:type="dxa"/>
              <w:bottom w:w="50" w:type="dxa"/>
              <w:left w:w="80" w:type="dxa"/>
              <w:right w:w="80" w:type="dxa"/>
            </w:tcMar>
          </w:tcPr>
          <w:p>
            <w:pPr>
              <w:spacing w:after="0"/>
            </w:pPr>
            <w:r>
              <w:rPr>
                <w:color w:val="212121"/>
                <w:sz w:val="16"/>
              </w:rPr>
              <w:t>In Market Sizes.xls, regional aggregates are in USD million, but countries are in local currencies, and Japan is reported in JPY billion (a 1,000x scale difference).</w:t>
            </w:r>
          </w:p>
        </w:tc>
        <w:tc>
          <w:tcPr>
            <w:tcW w:type="dxa" w:w="2556"/>
            <w:shd w:fill="F7F9FC"/>
            <w:tcMar>
              <w:top w:w="50" w:type="dxa"/>
              <w:bottom w:w="50" w:type="dxa"/>
              <w:left w:w="80" w:type="dxa"/>
              <w:right w:w="80" w:type="dxa"/>
            </w:tcMar>
          </w:tcPr>
          <w:p>
            <w:pPr>
              <w:spacing w:after="0"/>
            </w:pPr>
            <w:r>
              <w:rPr>
                <w:color w:val="212121"/>
                <w:sz w:val="16"/>
              </w:rPr>
              <w:t>Flagged that cross-country dollar comparisons require external FX conversion. Preserved exact currency labels and units; used physical Market Volume (Tonnes / Litres) as primary cross-country comparison metric.</w:t>
            </w:r>
          </w:p>
        </w:tc>
      </w:tr>
      <w:tr>
        <w:tc>
          <w:tcPr>
            <w:tcW w:type="dxa" w:w="2556"/>
            <w:shd w:fill="FFFFFF"/>
            <w:tcMar>
              <w:top w:w="50" w:type="dxa"/>
              <w:bottom w:w="50" w:type="dxa"/>
              <w:left w:w="80" w:type="dxa"/>
              <w:right w:w="80" w:type="dxa"/>
            </w:tcMar>
          </w:tcPr>
          <w:p>
            <w:pPr>
              <w:spacing w:after="0"/>
            </w:pPr>
            <w:r>
              <w:rPr>
                <w:color w:val="212121"/>
                <w:sz w:val="16"/>
              </w:rPr>
              <w:t>R7</w:t>
            </w:r>
          </w:p>
        </w:tc>
        <w:tc>
          <w:tcPr>
            <w:tcW w:type="dxa" w:w="2556"/>
            <w:shd w:fill="FFFFFF"/>
            <w:tcMar>
              <w:top w:w="50" w:type="dxa"/>
              <w:bottom w:w="50" w:type="dxa"/>
              <w:left w:w="80" w:type="dxa"/>
              <w:right w:w="80" w:type="dxa"/>
            </w:tcMar>
          </w:tcPr>
          <w:p>
            <w:pPr>
              <w:spacing w:after="0"/>
            </w:pPr>
            <w:r>
              <w:rPr>
                <w:color w:val="212121"/>
                <w:sz w:val="16"/>
              </w:rPr>
              <w:t>Tidy Long-Format Reshaping</w:t>
            </w:r>
          </w:p>
        </w:tc>
        <w:tc>
          <w:tcPr>
            <w:tcW w:type="dxa" w:w="2556"/>
            <w:shd w:fill="FFFFFF"/>
            <w:tcMar>
              <w:top w:w="50" w:type="dxa"/>
              <w:bottom w:w="50" w:type="dxa"/>
              <w:left w:w="80" w:type="dxa"/>
              <w:right w:w="80" w:type="dxa"/>
            </w:tcMar>
          </w:tcPr>
          <w:p>
            <w:pPr>
              <w:spacing w:after="0"/>
            </w:pPr>
            <w:r>
              <w:rPr>
                <w:color w:val="212121"/>
                <w:sz w:val="16"/>
              </w:rPr>
              <w:t>Raw wide formats (years as columns 2015–2025) impede multi-table joins, panel filtering, and regression/visualization.</w:t>
            </w:r>
          </w:p>
        </w:tc>
        <w:tc>
          <w:tcPr>
            <w:tcW w:type="dxa" w:w="2556"/>
            <w:shd w:fill="FFFFFF"/>
            <w:tcMar>
              <w:top w:w="50" w:type="dxa"/>
              <w:bottom w:w="50" w:type="dxa"/>
              <w:left w:w="80" w:type="dxa"/>
              <w:right w:w="80" w:type="dxa"/>
            </w:tcMar>
          </w:tcPr>
          <w:p>
            <w:pPr>
              <w:spacing w:after="0"/>
            </w:pPr>
            <w:r>
              <w:rPr>
                <w:color w:val="212121"/>
                <w:sz w:val="16"/>
              </w:rPr>
              <w:t>Reshaped tables using pd.melt() into tidy long format: Year cast to int64, values cast to float64. Zero failed conversions.</w:t>
            </w:r>
          </w:p>
        </w:tc>
      </w:tr>
      <w:tr>
        <w:tc>
          <w:tcPr>
            <w:tcW w:type="dxa" w:w="2556"/>
            <w:shd w:fill="F7F9FC"/>
            <w:tcMar>
              <w:top w:w="50" w:type="dxa"/>
              <w:bottom w:w="50" w:type="dxa"/>
              <w:left w:w="80" w:type="dxa"/>
              <w:right w:w="80" w:type="dxa"/>
            </w:tcMar>
          </w:tcPr>
          <w:p>
            <w:pPr>
              <w:spacing w:after="0"/>
            </w:pPr>
            <w:r>
              <w:rPr>
                <w:color w:val="212121"/>
                <w:sz w:val="16"/>
              </w:rPr>
              <w:t>R8</w:t>
            </w:r>
          </w:p>
        </w:tc>
        <w:tc>
          <w:tcPr>
            <w:tcW w:type="dxa" w:w="2556"/>
            <w:shd w:fill="F7F9FC"/>
            <w:tcMar>
              <w:top w:w="50" w:type="dxa"/>
              <w:bottom w:w="50" w:type="dxa"/>
              <w:left w:w="80" w:type="dxa"/>
              <w:right w:w="80" w:type="dxa"/>
            </w:tcMar>
          </w:tcPr>
          <w:p>
            <w:pPr>
              <w:spacing w:after="0"/>
            </w:pPr>
            <w:r>
              <w:rPr>
                <w:color w:val="212121"/>
                <w:sz w:val="16"/>
              </w:rPr>
              <w:t>Multi-Table Relational Merge &amp; Metric Derivation</w:t>
            </w:r>
          </w:p>
        </w:tc>
        <w:tc>
          <w:tcPr>
            <w:tcW w:type="dxa" w:w="2556"/>
            <w:shd w:fill="F7F9FC"/>
            <w:tcMar>
              <w:top w:w="50" w:type="dxa"/>
              <w:bottom w:w="50" w:type="dxa"/>
              <w:left w:w="80" w:type="dxa"/>
              <w:right w:w="80" w:type="dxa"/>
            </w:tcMar>
          </w:tcPr>
          <w:p>
            <w:pPr>
              <w:spacing w:after="0"/>
            </w:pPr>
            <w:r>
              <w:rPr>
                <w:color w:val="212121"/>
                <w:sz w:val="16"/>
              </w:rPr>
              <w:t>Analyzing channel strategy requires knowing physical volume sold through each channel, not merely percentage shares.</w:t>
            </w:r>
          </w:p>
        </w:tc>
        <w:tc>
          <w:tcPr>
            <w:tcW w:type="dxa" w:w="2556"/>
            <w:shd w:fill="F7F9FC"/>
            <w:tcMar>
              <w:top w:w="50" w:type="dxa"/>
              <w:bottom w:w="50" w:type="dxa"/>
              <w:left w:w="80" w:type="dxa"/>
              <w:right w:w="80" w:type="dxa"/>
            </w:tcMar>
          </w:tcPr>
          <w:p>
            <w:pPr>
              <w:spacing w:after="0"/>
            </w:pPr>
            <w:r>
              <w:rPr>
                <w:color w:val="212121"/>
                <w:sz w:val="16"/>
              </w:rPr>
              <w:t>Merged Market Sizes (Volume) with Retail Channels (% Share) on ['Geography', 'Category', 'Year']. Computed Channel_Volume = Market_Volume * (Channel_Share_Pct / 100). Exactly 9,108 rows; 0 unmatched keys.</w:t>
            </w:r>
          </w:p>
        </w:tc>
      </w:tr>
    </w:tbl>
    <w:p>
      <w:pPr>
        <w:spacing w:after="60"/>
      </w:pPr>
    </w:p>
    <w:p>
      <w:pPr>
        <w:spacing w:before="280" w:after="80"/>
      </w:pPr>
      <w:r>
        <w:rPr>
          <w:b/>
          <w:color w:val="1B365D"/>
          <w:sz w:val="30"/>
        </w:rPr>
        <w:t>2. Explanation of How One Codex / AI Suggestion Was Checked</w:t>
      </w:r>
    </w:p>
    <w:p>
      <w:pPr>
        <w:spacing w:after="80"/>
      </w:pPr>
      <w:r>
        <w:rPr>
          <w:color w:val="212121"/>
          <w:sz w:val="19"/>
        </w:rPr>
        <w:t>Context: During exploratory script generation, an AI coding assistant (Codex/LLM) suggested a blanket imputation rule: df = df.replace('-', 0).infer_objects(copy=False) to eliminate all non-numeric characters and simplify type conversions.</w:t>
        <w:br/>
        <w:br/>
        <w:t>Audit &amp; Verification Applied: We audited the exact rows in each table containing hyphens. In Market Sizes.xls, hyphens appeared exclusively in India RTD Coffee Off-trade Volume and Off-trade Value RSP across all 11 years (2015–2025). Consulting Euromonitor's methodology confirmed that hyphens signify unobserved or unmeasured category segments—Euromonitor did not survey the RTD liquid coffee sector in India during this period.</w:t>
        <w:br/>
        <w:br/>
        <w:t>Downstream Mathematical Impact: Imputing India RTD volume as 0.0 would falsely report zero coffee consumption, cause divide-by-zero errors in CAGR calculations, and artificially depress Asia-Pacific per-capita benchmarks by diluting aggregate volume across India's 1.4 billion population.</w:t>
        <w:br/>
        <w:br/>
        <w:t>Decision Made: We rejected the uniform zero-imputation suggestion. Instead, we established a differentiated rule: in Retail channels, where hyphens represent inactive/unmeasured channels (e.g. forecourt retailers in China), values are treated as 0.0% volume share; in Market Sizes, hyphens are preserved strictly as NaN so that unobserved market segments are excluded from aggregates without corrupting averages.</w:t>
      </w:r>
    </w:p>
    <w:p>
      <w:pPr>
        <w:spacing w:before="280" w:after="80"/>
      </w:pPr>
      <w:r>
        <w:rPr>
          <w:b/>
          <w:color w:val="1B365D"/>
          <w:sz w:val="30"/>
        </w:rPr>
        <w:t>3. The 14-Item DSO 576 Data Cleaning Checklist</w:t>
      </w:r>
    </w:p>
    <w:p>
      <w:pPr>
        <w:spacing w:before="160" w:after="40"/>
      </w:pPr>
      <w:r>
        <w:rPr>
          <w:b/>
          <w:color w:val="1B365D"/>
          <w:sz w:val="22"/>
        </w:rPr>
        <w:t>1 State the project vision and question</w:t>
        <w:br/>
      </w:r>
      <w:r>
        <w:rPr>
          <w:i/>
          <w:color w:val="646464"/>
          <w:sz w:val="18"/>
        </w:rPr>
        <w:t>State your project vision and one business question. Name the main metric or comparison.</w:t>
        <w:br/>
      </w:r>
      <w:r>
        <w:rPr>
          <w:b/>
          <w:sz w:val="20"/>
        </w:rPr>
        <w:t xml:space="preserve">Status: </w:t>
      </w:r>
      <w:r>
        <w:rPr>
          <w:b/>
          <w:color w:val="147832"/>
          <w:sz w:val="20"/>
        </w:rPr>
        <w:t>Done</w:t>
        <w:br/>
      </w:r>
      <w:r>
        <w:rPr>
          <w:b/>
          <w:sz w:val="19"/>
        </w:rPr>
        <w:t>Evidence or explanation:</w:t>
        <w:br/>
      </w:r>
    </w:p>
    <w:p>
      <w:pPr>
        <w:spacing w:after="40"/>
        <w:ind w:left="288"/>
      </w:pPr>
      <w:r>
        <w:rPr>
          <w:sz w:val="18"/>
        </w:rPr>
        <w:t>Project Vision: Evaluate whether a Chinese coffee enterprise originating from Yunnan Province should expand into international overseas markets, identifying the highest-potential target markets in Asia-Pacific and globally to support strategic entry, category selection, and channel deployment.</w:t>
      </w:r>
    </w:p>
    <w:p>
      <w:pPr>
        <w:spacing w:after="40"/>
        <w:ind w:left="288"/>
      </w:pPr>
      <w:r>
        <w:rPr>
          <w:sz w:val="18"/>
        </w:rPr>
        <w:t>One Business Question: 'Which international markets and categories (packaged coffee vs. ready-to-drink [RTD] coffee) offer the highest sustainable volume growth and accessible retail/channel entry routes for a Yunnan coffee enterprise looking to expand overseas?'</w:t>
      </w:r>
    </w:p>
    <w:p>
      <w:pPr>
        <w:spacing w:after="40"/>
        <w:ind w:left="288"/>
      </w:pPr>
      <w:r>
        <w:rPr>
          <w:sz w:val="18"/>
        </w:rPr>
        <w:t>Main Metric or Comparison: Market volume (Tonnes for Packaged Coffee, Million Litres for RTD Coffee) and 10-year CAGR (2015–2025), evaluated alongside off-trade retail channel shares (% E-commerce, Supermarkets, Hypermarkets, Convenience) and packaging unit volume mix (million units by pack format).</w:t>
      </w:r>
    </w:p>
    <w:p>
      <w:pPr>
        <w:spacing w:after="40"/>
        <w:ind w:left="288"/>
      </w:pPr>
      <w:r>
        <w:rPr>
          <w:sz w:val="18"/>
        </w:rPr>
        <w:t>Reference: Documented in project-start.md (lines 5–45), dashboard.html (lines 7–10), and Section 1 of Datacleaner.ipynb.</w:t>
      </w:r>
    </w:p>
    <w:p>
      <w:pPr>
        <w:spacing w:before="160" w:after="40"/>
      </w:pPr>
      <w:r>
        <w:rPr>
          <w:b/>
          <w:color w:val="1B365D"/>
          <w:sz w:val="22"/>
        </w:rPr>
        <w:t>2 Define one row</w:t>
        <w:br/>
      </w:r>
      <w:r>
        <w:rPr>
          <w:i/>
          <w:color w:val="646464"/>
          <w:sz w:val="18"/>
        </w:rPr>
        <w:t>What does one row represent? Name the column or combination that should uniquely identify a row, if any.</w:t>
        <w:br/>
      </w:r>
      <w:r>
        <w:rPr>
          <w:b/>
          <w:sz w:val="20"/>
        </w:rPr>
        <w:t xml:space="preserve">Status: </w:t>
      </w:r>
      <w:r>
        <w:rPr>
          <w:b/>
          <w:color w:val="147832"/>
          <w:sz w:val="20"/>
        </w:rPr>
        <w:t>Done</w:t>
        <w:br/>
      </w:r>
      <w:r>
        <w:rPr>
          <w:b/>
          <w:sz w:val="19"/>
        </w:rPr>
        <w:t>Evidence or explanation:</w:t>
        <w:br/>
      </w:r>
    </w:p>
    <w:p>
      <w:pPr>
        <w:spacing w:after="40"/>
        <w:ind w:left="288"/>
      </w:pPr>
      <w:r>
        <w:rPr>
          <w:sz w:val="18"/>
        </w:rPr>
        <w:t>Market Sizes.xls: In wide format, one row represents an 11-year time series (2015–2025) of category volume or value for a unique Geography x Category x Data Type x Unit x Current Constant. In tidy long format, one row represents a single annual volume or retail value observation for a given Geography, Category, Data Type, and Year. Unique Key: ['Geography', 'Category', 'Data Type', 'Year'].</w:t>
      </w:r>
    </w:p>
    <w:p>
      <w:pPr>
        <w:spacing w:after="40"/>
        <w:ind w:left="288"/>
      </w:pPr>
      <w:r>
        <w:rPr>
          <w:sz w:val="18"/>
        </w:rPr>
        <w:t>Retail channels.xls: In wide format, one row represents the annual percentage distribution of sales volume across 2015–2025 for a specific Geography, Category, Outlet Type, and Data Type. In tidy format, one row represents the percentage share of volume sold through one Outlet Type in a given Geography, Category, and Year. Unique Key: ['Geography', 'Category', 'Outlet Type', 'Year'].</w:t>
      </w:r>
    </w:p>
    <w:p>
      <w:pPr>
        <w:spacing w:after="40"/>
        <w:ind w:left="288"/>
      </w:pPr>
      <w:r>
        <w:rPr>
          <w:sz w:val="18"/>
        </w:rPr>
        <w:t>Pack type.xls: In wide format, one row represents annual unit volume (million units) for a specific packaging container format (Pack Type) within a Geography, Category, and Packaging Class ('Total'). In tidy format, one row represents annual unit volume of a specific Pack Type in a given Geography, Category, and Year. Unique Key: ['Geography', 'Category', 'Packaging Class', 'Pack Type', 'Year'].</w:t>
      </w:r>
    </w:p>
    <w:p>
      <w:pPr>
        <w:spacing w:after="40"/>
        <w:ind w:left="288"/>
      </w:pPr>
      <w:r>
        <w:rPr>
          <w:sz w:val="18"/>
        </w:rPr>
        <w:t>Pack Size.xls: In wide format, one row represents annual unit volume (million units) for a granular pack size/capacity (Pack Size, e.g. '100 g', '250 ml', or 'Total') nested within a Pack Type, Packaging Class, Category, and Geography. In tidy format, one row represents annual unit volume of a specific Pack Size in a given Geography, Category, Pack Type, and Year. Unique Key: ['Geography', 'Category', 'Packaging Class', 'Pack Type', 'Pack Size', 'Year'].</w:t>
      </w:r>
    </w:p>
    <w:p>
      <w:pPr>
        <w:spacing w:after="40"/>
        <w:ind w:left="288"/>
      </w:pPr>
      <w:r>
        <w:rPr>
          <w:sz w:val="18"/>
        </w:rPr>
        <w:t>Reference: Verified programmatically in Section 2 of Datacleaner.ipynb (0 duplicated primary keys across all four tables).</w:t>
      </w:r>
    </w:p>
    <w:p>
      <w:pPr>
        <w:spacing w:before="160" w:after="40"/>
      </w:pPr>
      <w:r>
        <w:rPr>
          <w:b/>
          <w:color w:val="1B365D"/>
          <w:sz w:val="22"/>
        </w:rPr>
        <w:t>3 Preserve the source</w:t>
        <w:br/>
      </w:r>
      <w:r>
        <w:rPr>
          <w:i/>
          <w:color w:val="646464"/>
          <w:sz w:val="18"/>
        </w:rPr>
        <w:t>List the data source and version or download date. Keep the original files unchanged. Explain how to load them.</w:t>
        <w:br/>
      </w:r>
      <w:r>
        <w:rPr>
          <w:b/>
          <w:sz w:val="20"/>
        </w:rPr>
        <w:t xml:space="preserve">Status: </w:t>
      </w:r>
      <w:r>
        <w:rPr>
          <w:b/>
          <w:color w:val="147832"/>
          <w:sz w:val="20"/>
        </w:rPr>
        <w:t>Done</w:t>
        <w:br/>
      </w:r>
      <w:r>
        <w:rPr>
          <w:b/>
          <w:sz w:val="19"/>
        </w:rPr>
        <w:t>Evidence or explanation:</w:t>
        <w:br/>
      </w:r>
    </w:p>
    <w:p>
      <w:pPr>
        <w:spacing w:after="40"/>
        <w:ind w:left="288"/>
      </w:pPr>
      <w:r>
        <w:rPr>
          <w:sz w:val="18"/>
        </w:rPr>
        <w:t>Data Source: Euromonitor International via USC Libraries Passport database subscription (Hot Drinks, Soft Drinks, and Beverage Packaging modules).</w:t>
      </w:r>
    </w:p>
    <w:p>
      <w:pPr>
        <w:spacing w:after="40"/>
        <w:ind w:left="288"/>
      </w:pPr>
      <w:r>
        <w:rPr>
          <w:sz w:val="18"/>
        </w:rPr>
        <w:t>Export Dates &amp; Provenance: Market Sizes.xls (GMT 9/20/2026 11:17:37 PM, 72 data rows); Retail channels.xls (GMT 10/1/2026 7:02:34 AM, 864 data rows); Pack type.xls (GMT 10/1/2026 7:05:16 AM, 530 data rows); Pack Size.xls (GMT 10/1/2026 7:07:44 AM, 7,209 data rows).</w:t>
      </w:r>
    </w:p>
    <w:p>
      <w:pPr>
        <w:spacing w:after="40"/>
        <w:ind w:left="288"/>
      </w:pPr>
      <w:r>
        <w:rPr>
          <w:sz w:val="18"/>
        </w:rPr>
        <w:t>Preservation: Original binary .xls files in DATA/ are strictly read-only and preserved unchanged.</w:t>
      </w:r>
    </w:p>
    <w:p>
      <w:pPr>
        <w:spacing w:after="40"/>
        <w:ind w:left="288"/>
      </w:pPr>
      <w:r>
        <w:rPr>
          <w:sz w:val="18"/>
        </w:rPr>
        <w:t>Loading Procedure: Loaded via inspect_and_load_source() in Datacleaner.ipynb Section 3. The function dynamically detects the header row (Geography at row index 5), parses data rows up to the footer boundary, and isolates clean tables in-memory before exporting them to separate CSV files in DATA/clean/.</w:t>
      </w:r>
    </w:p>
    <w:p>
      <w:pPr>
        <w:spacing w:before="160" w:after="40"/>
      </w:pPr>
      <w:r>
        <w:rPr>
          <w:b/>
          <w:color w:val="1B365D"/>
          <w:sz w:val="22"/>
        </w:rPr>
        <w:t>4 Inspect columns and types</w:t>
        <w:br/>
      </w:r>
      <w:r>
        <w:rPr>
          <w:i/>
          <w:color w:val="646464"/>
          <w:sz w:val="18"/>
        </w:rPr>
        <w:t>List incorrect types and your conversions. Count failed conversions and explain how you handled them.</w:t>
        <w:br/>
      </w:r>
      <w:r>
        <w:rPr>
          <w:b/>
          <w:sz w:val="20"/>
        </w:rPr>
        <w:t xml:space="preserve">Status: </w:t>
      </w:r>
      <w:r>
        <w:rPr>
          <w:b/>
          <w:color w:val="147832"/>
          <w:sz w:val="20"/>
        </w:rPr>
        <w:t>Done</w:t>
        <w:br/>
      </w:r>
      <w:r>
        <w:rPr>
          <w:b/>
          <w:sz w:val="19"/>
        </w:rPr>
        <w:t>Evidence or explanation:</w:t>
        <w:br/>
      </w:r>
    </w:p>
    <w:p>
      <w:pPr>
        <w:spacing w:after="40"/>
        <w:ind w:left="288"/>
      </w:pPr>
      <w:r>
        <w:rPr>
          <w:sz w:val="18"/>
        </w:rPr>
        <w:t>Conversions: Year columns (2015–2025) imported as string object due to text hyphens ('-'). Converted to numeric float64 via pd.to_numeric(), mapping hyphens to np.nan (or 0.0 for inactive retail channels). In tidy format, converted Year from string to int64. Categorical columns typed as clean strings.</w:t>
      </w:r>
    </w:p>
    <w:p>
      <w:pPr>
        <w:spacing w:after="40"/>
        <w:ind w:left="288"/>
      </w:pPr>
      <w:r>
        <w:rPr>
          <w:sz w:val="18"/>
        </w:rPr>
        <w:t>Failed Conversions Count: 0 unexpected failures. Every non-numeric string across all four datasets was strictly the hyphen character '-'. Hyphen counts: Market Sizes = 22; Retail channels = 3,384; Pack type = 96; Pack Size = 2,758.</w:t>
      </w:r>
    </w:p>
    <w:p>
      <w:pPr>
        <w:spacing w:after="40"/>
        <w:ind w:left="288"/>
      </w:pPr>
      <w:r>
        <w:rPr>
          <w:sz w:val="18"/>
        </w:rPr>
        <w:t>Reference: Programmatically verified in Section 4 of Datacleaner.ipynb.</w:t>
      </w:r>
    </w:p>
    <w:p>
      <w:pPr>
        <w:spacing w:before="160" w:after="40"/>
      </w:pPr>
      <w:r>
        <w:rPr>
          <w:b/>
          <w:color w:val="1B365D"/>
          <w:sz w:val="22"/>
        </w:rPr>
        <w:t>5 Standardize text</w:t>
        <w:br/>
      </w:r>
      <w:r>
        <w:rPr>
          <w:i/>
          <w:color w:val="646464"/>
          <w:sz w:val="18"/>
        </w:rPr>
        <w:t>Show text before and after cleaning. Keep meaningful differences and leading zeros in IDs.</w:t>
        <w:br/>
      </w:r>
      <w:r>
        <w:rPr>
          <w:b/>
          <w:sz w:val="20"/>
        </w:rPr>
        <w:t xml:space="preserve">Status: </w:t>
      </w:r>
      <w:r>
        <w:rPr>
          <w:b/>
          <w:color w:val="147832"/>
          <w:sz w:val="20"/>
        </w:rPr>
        <w:t>Done</w:t>
        <w:br/>
      </w:r>
      <w:r>
        <w:rPr>
          <w:b/>
          <w:sz w:val="19"/>
        </w:rPr>
        <w:t>Evidence or explanation:</w:t>
        <w:br/>
      </w:r>
    </w:p>
    <w:p>
      <w:pPr>
        <w:spacing w:after="40"/>
        <w:ind w:left="288"/>
      </w:pPr>
      <w:r>
        <w:rPr>
          <w:sz w:val="18"/>
        </w:rPr>
        <w:t>Text Cleaning: In Pack type.xls (9 rows) and Pack Size.xls (56 rows), Pack Type contained an accidental trailing space: Before: 'PET Jars ' (length 9) -&gt; After: 'PET Jars' (length 8). Applied .str.strip() across all text columns across all tables. Trailing/leading whitespace issues after cleaning: 0.</w:t>
      </w:r>
    </w:p>
    <w:p>
      <w:pPr>
        <w:spacing w:after="40"/>
        <w:ind w:left="288"/>
      </w:pPr>
      <w:r>
        <w:rPr>
          <w:sz w:val="18"/>
        </w:rPr>
        <w:t>Preserved Differences: Preserved category distinctions (Coffee vs RTD Coffee), currency scale distinctions (USD million, JPY billion, CNY million, GBP million, EUR million), and package units (Tonnes, million litres, million units, g, ml).</w:t>
      </w:r>
    </w:p>
    <w:p>
      <w:pPr>
        <w:spacing w:after="40"/>
        <w:ind w:left="288"/>
      </w:pPr>
      <w:r>
        <w:rPr>
          <w:sz w:val="18"/>
        </w:rPr>
        <w:t>IDs: Euromonitor uses standardized text strings rather than numeric codes with leading zeros.</w:t>
      </w:r>
    </w:p>
    <w:p>
      <w:pPr>
        <w:spacing w:after="40"/>
        <w:ind w:left="288"/>
      </w:pPr>
      <w:r>
        <w:rPr>
          <w:sz w:val="18"/>
        </w:rPr>
        <w:t>Reference: Programmatically verified in Section 5 of Datacleaner.ipynb.</w:t>
      </w:r>
    </w:p>
    <w:p>
      <w:pPr>
        <w:spacing w:before="160" w:after="40"/>
      </w:pPr>
      <w:r>
        <w:rPr>
          <w:b/>
          <w:color w:val="1B365D"/>
          <w:sz w:val="22"/>
        </w:rPr>
        <w:t>6 Investigate duplicates</w:t>
        <w:br/>
      </w:r>
      <w:r>
        <w:rPr>
          <w:i/>
          <w:color w:val="646464"/>
          <w:sz w:val="18"/>
        </w:rPr>
        <w:t>Count exact duplicate rows and repeated IDs separately. Explain which you kept or removed, and why.</w:t>
        <w:br/>
      </w:r>
      <w:r>
        <w:rPr>
          <w:b/>
          <w:sz w:val="20"/>
        </w:rPr>
        <w:t xml:space="preserve">Status: </w:t>
      </w:r>
      <w:r>
        <w:rPr>
          <w:b/>
          <w:color w:val="147832"/>
          <w:sz w:val="20"/>
        </w:rPr>
        <w:t>Done</w:t>
        <w:br/>
      </w:r>
      <w:r>
        <w:rPr>
          <w:b/>
          <w:sz w:val="19"/>
        </w:rPr>
        <w:t>Evidence or explanation:</w:t>
        <w:br/>
      </w:r>
    </w:p>
    <w:p>
      <w:pPr>
        <w:spacing w:after="40"/>
        <w:ind w:left="288"/>
      </w:pPr>
      <w:r>
        <w:rPr>
          <w:sz w:val="18"/>
        </w:rPr>
        <w:t>Exact Duplicate Rows: Market Sizes = 0; Retail channels = 0; Pack type = 0; Pack Size = 0.</w:t>
      </w:r>
    </w:p>
    <w:p>
      <w:pPr>
        <w:spacing w:after="40"/>
        <w:ind w:left="288"/>
      </w:pPr>
      <w:r>
        <w:rPr>
          <w:sz w:val="18"/>
        </w:rPr>
        <w:t>Repeated IDs: 0 repeated composite primary keys across all four tables in raw format.</w:t>
      </w:r>
    </w:p>
    <w:p>
      <w:pPr>
        <w:spacing w:after="40"/>
        <w:ind w:left="288"/>
      </w:pPr>
      <w:r>
        <w:rPr>
          <w:sz w:val="18"/>
        </w:rPr>
        <w:t>Semantic Duplicates Handled: (1) Retail channels.xls: Outlet Type == 'Retail Channels' and Outlet Type == 'Total' both report identical values (100.0% across all years; max diff = 0.0). Retained 'Retail Channels' as primary total and filtered out redundant 'Total' rows (36 rows removed) to prevent double counting. (2) Pack Size.xls vs Pack type.xls: The 530 rows where Pack Size == 'Total' are exact replicas of Pack type.xls.</w:t>
      </w:r>
    </w:p>
    <w:p>
      <w:pPr>
        <w:spacing w:after="40"/>
        <w:ind w:left="288"/>
      </w:pPr>
      <w:r>
        <w:rPr>
          <w:sz w:val="18"/>
        </w:rPr>
        <w:t>Reference: Programmatically verified in Section 6 of Datacleaner.ipynb.</w:t>
      </w:r>
    </w:p>
    <w:p>
      <w:pPr>
        <w:spacing w:before="160" w:after="40"/>
      </w:pPr>
      <w:r>
        <w:rPr>
          <w:b/>
          <w:color w:val="1B365D"/>
          <w:sz w:val="22"/>
        </w:rPr>
        <w:t>7 Handle missing data</w:t>
        <w:br/>
      </w:r>
      <w:r>
        <w:rPr>
          <w:i/>
          <w:color w:val="646464"/>
          <w:sz w:val="18"/>
        </w:rPr>
        <w:t>Report missing counts before and after cleaning for each affected column. Explain why you kept, filled, or dropped values.</w:t>
        <w:br/>
      </w:r>
      <w:r>
        <w:rPr>
          <w:b/>
          <w:sz w:val="20"/>
        </w:rPr>
        <w:t xml:space="preserve">Status: </w:t>
      </w:r>
      <w:r>
        <w:rPr>
          <w:b/>
          <w:color w:val="147832"/>
          <w:sz w:val="20"/>
        </w:rPr>
        <w:t>Done</w:t>
        <w:br/>
      </w:r>
      <w:r>
        <w:rPr>
          <w:b/>
          <w:sz w:val="19"/>
        </w:rPr>
        <w:t>Evidence or explanation:</w:t>
        <w:br/>
      </w:r>
    </w:p>
    <w:p>
      <w:pPr>
        <w:spacing w:after="40"/>
        <w:ind w:left="288"/>
      </w:pPr>
      <w:r>
        <w:rPr>
          <w:sz w:val="18"/>
        </w:rPr>
        <w:t>Market Sizes.xls (22 missing values): India RTD Coffee Off-trade Volume and Value across 11 years. Kept strictly as NaN (NOT filled with 0) to avoid falsely reporting zero consumption and distorting growth metrics.</w:t>
      </w:r>
    </w:p>
    <w:p>
      <w:pPr>
        <w:spacing w:after="40"/>
        <w:ind w:left="288"/>
      </w:pPr>
      <w:r>
        <w:rPr>
          <w:sz w:val="18"/>
        </w:rPr>
        <w:t>Retail channels.xls (3,384 missing values, 35.61% of channel cells): Inactive/unmeasured retail channels in specific countries (e.g. forecourt retailers in China). Treated as 0.0% for additive channel share calculations; preserved as NaN for presence analysis.</w:t>
      </w:r>
    </w:p>
    <w:p>
      <w:pPr>
        <w:spacing w:after="40"/>
        <w:ind w:left="288"/>
      </w:pPr>
      <w:r>
        <w:rPr>
          <w:sz w:val="18"/>
        </w:rPr>
        <w:t>Pack type.xls (96 missing values) &amp; Pack Size.xls (2,758 missing values): Preserved as NaN when analyzing launch timelines; treated as 0.0 when computing aggregate packaging volume.</w:t>
      </w:r>
    </w:p>
    <w:p>
      <w:pPr>
        <w:spacing w:after="40"/>
        <w:ind w:left="288"/>
      </w:pPr>
      <w:r>
        <w:rPr>
          <w:sz w:val="18"/>
        </w:rPr>
        <w:t>Reference: Programmatically verified in Section 7 of Datacleaner.ipynb.</w:t>
      </w:r>
    </w:p>
    <w:p>
      <w:pPr>
        <w:spacing w:before="160" w:after="40"/>
      </w:pPr>
      <w:r>
        <w:rPr>
          <w:b/>
          <w:color w:val="1B365D"/>
          <w:sz w:val="22"/>
        </w:rPr>
        <w:t>8 Check suspicious values</w:t>
        <w:br/>
      </w:r>
      <w:r>
        <w:rPr>
          <w:i/>
          <w:color w:val="646464"/>
          <w:sz w:val="18"/>
        </w:rPr>
        <w:t>Check invalid dates, impossible values, and unusual records. Explain what you corrected, kept, or flagged. Unusual does not always mean wrong.</w:t>
        <w:br/>
      </w:r>
      <w:r>
        <w:rPr>
          <w:b/>
          <w:sz w:val="20"/>
        </w:rPr>
        <w:t xml:space="preserve">Status: </w:t>
      </w:r>
      <w:r>
        <w:rPr>
          <w:b/>
          <w:color w:val="147832"/>
          <w:sz w:val="20"/>
        </w:rPr>
        <w:t>Done</w:t>
        <w:br/>
      </w:r>
      <w:r>
        <w:rPr>
          <w:b/>
          <w:sz w:val="19"/>
        </w:rPr>
        <w:t>Evidence or explanation:</w:t>
        <w:br/>
      </w:r>
    </w:p>
    <w:p>
      <w:pPr>
        <w:spacing w:after="40"/>
        <w:ind w:left="288"/>
      </w:pPr>
      <w:r>
        <w:rPr>
          <w:sz w:val="18"/>
        </w:rPr>
        <w:t>Date Bounds: All years span 2015 to 2025. Historical: 2015–2023; Forecast: 2024–2025. Valid range.</w:t>
      </w:r>
    </w:p>
    <w:p>
      <w:pPr>
        <w:spacing w:after="40"/>
        <w:ind w:left="288"/>
      </w:pPr>
      <w:r>
        <w:rPr>
          <w:sz w:val="18"/>
        </w:rPr>
        <w:t>Negative Values: 0 negative values across all four datasets (minimum numeric value is 0.0).</w:t>
      </w:r>
    </w:p>
    <w:p>
      <w:pPr>
        <w:spacing w:after="40"/>
        <w:ind w:left="288"/>
      </w:pPr>
      <w:r>
        <w:rPr>
          <w:sz w:val="18"/>
        </w:rPr>
        <w:t>Percentages: All channel shares in Retail channels fall strictly within [0.0, 100.0]. Total channel sums equal 100.0%.</w:t>
      </w:r>
    </w:p>
    <w:p>
      <w:pPr>
        <w:spacing w:after="40"/>
        <w:ind w:left="288"/>
      </w:pPr>
      <w:r>
        <w:rPr>
          <w:sz w:val="18"/>
        </w:rPr>
        <w:t>CRITICAL FLAG — Currency Scaling Discrepancies: Regional aggregates report Retail Value RSP in USD million, whereas country-level rows report retail value in local currency (China: CNY million; India: INR million; Japan: JPY billion [1,000x scale difference!]; Thailand: THB million; Australia: AUD million; Brazil: BRL million; France/Germany: EUR million; UK: GBP million; USA: USD million).</w:t>
      </w:r>
    </w:p>
    <w:p>
      <w:pPr>
        <w:spacing w:after="40"/>
        <w:ind w:left="288"/>
      </w:pPr>
      <w:r>
        <w:rPr>
          <w:sz w:val="18"/>
        </w:rPr>
        <w:t>Correction / Action: Direct dollar comparisons across countries cannot be made from raw Retail Value RSP without external exchange rates. Market Volume (Tonnes for coffee, Million Litres for RTD) must be used as primary physically consistent metric.</w:t>
      </w:r>
    </w:p>
    <w:p>
      <w:pPr>
        <w:spacing w:after="40"/>
        <w:ind w:left="288"/>
      </w:pPr>
      <w:r>
        <w:rPr>
          <w:sz w:val="18"/>
        </w:rPr>
        <w:t>Reference: Audited in Section 8 of Datacleaner.ipynb.</w:t>
      </w:r>
    </w:p>
    <w:p>
      <w:pPr>
        <w:spacing w:before="160" w:after="40"/>
      </w:pPr>
      <w:r>
        <w:rPr>
          <w:b/>
          <w:color w:val="1B365D"/>
          <w:sz w:val="22"/>
        </w:rPr>
        <w:t>9 Verify merges</w:t>
        <w:br/>
      </w:r>
      <w:r>
        <w:rPr>
          <w:i/>
          <w:color w:val="646464"/>
          <w:sz w:val="18"/>
        </w:rPr>
        <w:t>If you merged tables, list the keys and expected relationship. Report unmatched keys, row counts before and after, and any unexpected extra rows.</w:t>
        <w:br/>
      </w:r>
      <w:r>
        <w:rPr>
          <w:b/>
          <w:sz w:val="20"/>
        </w:rPr>
        <w:t xml:space="preserve">Status: </w:t>
      </w:r>
      <w:r>
        <w:rPr>
          <w:b/>
          <w:color w:val="147832"/>
          <w:sz w:val="20"/>
        </w:rPr>
        <w:t>Done</w:t>
        <w:br/>
      </w:r>
      <w:r>
        <w:rPr>
          <w:b/>
          <w:sz w:val="19"/>
        </w:rPr>
        <w:t>Evidence or explanation:</w:t>
        <w:br/>
      </w:r>
    </w:p>
    <w:p>
      <w:pPr>
        <w:spacing w:after="40"/>
        <w:ind w:left="288"/>
      </w:pPr>
      <w:r>
        <w:rPr>
          <w:sz w:val="18"/>
        </w:rPr>
        <w:t>Primary Merge: Market Sizes (Volume) merged with Retail Channels (% Share) on ['Geography', 'Category', 'Year']. Relationship: One-to-Many. Unmatched Keys: 0 on either side (18 geographies x 2 categories x 11 years = 396 groups perfectly matched). Pre-merge: Market Sizes Volume tidy = 396; Retail Channels tidy (filtered) = 9,108. Post-merge: Exactly 9,108 rows (0 unexpected extra rows, 0 dropped rows). Derived Metric: Channel_Volume = Total_Market_Volume * (Channel_Share_Pct / 100.0).</w:t>
      </w:r>
    </w:p>
    <w:p>
      <w:pPr>
        <w:spacing w:after="40"/>
        <w:ind w:left="288"/>
      </w:pPr>
      <w:r>
        <w:rPr>
          <w:sz w:val="18"/>
        </w:rPr>
        <w:t>Secondary Merge Validation: Pack type.xls merged with Pack Size.xls ('Total') on ['Geography', 'Category', 'Packaging Class', 'Pack Type Clean']. Exactly 530 rows matched 1-to-1, 0 unmatched, 0 numeric discrepancies across all 11 years.</w:t>
      </w:r>
    </w:p>
    <w:p>
      <w:pPr>
        <w:spacing w:after="40"/>
        <w:ind w:left="288"/>
      </w:pPr>
      <w:r>
        <w:rPr>
          <w:sz w:val="18"/>
        </w:rPr>
        <w:t>Reference: Programmatically verified in Section 9 of Datacleaner.ipynb.</w:t>
      </w:r>
    </w:p>
    <w:p>
      <w:pPr>
        <w:spacing w:before="160" w:after="40"/>
      </w:pPr>
      <w:r>
        <w:rPr>
          <w:b/>
          <w:color w:val="1B365D"/>
          <w:sz w:val="22"/>
        </w:rPr>
        <w:t>10 Reconcile changes</w:t>
        <w:br/>
      </w:r>
      <w:r>
        <w:rPr>
          <w:i/>
          <w:color w:val="646464"/>
          <w:sz w:val="18"/>
        </w:rPr>
        <w:t>Report starting and final row counts. Account for the difference. Explain changes to important totals after cleaning or merging.</w:t>
        <w:br/>
      </w:r>
      <w:r>
        <w:rPr>
          <w:b/>
          <w:sz w:val="20"/>
        </w:rPr>
        <w:t xml:space="preserve">Status: </w:t>
      </w:r>
      <w:r>
        <w:rPr>
          <w:b/>
          <w:color w:val="147832"/>
          <w:sz w:val="20"/>
        </w:rPr>
        <w:t>Done</w:t>
        <w:br/>
      </w:r>
      <w:r>
        <w:rPr>
          <w:b/>
          <w:sz w:val="19"/>
        </w:rPr>
        <w:t>Evidence or explanation:</w:t>
        <w:br/>
      </w:r>
    </w:p>
    <w:p>
      <w:pPr>
        <w:spacing w:after="40"/>
        <w:ind w:left="288"/>
      </w:pPr>
      <w:r>
        <w:rPr>
          <w:sz w:val="18"/>
        </w:rPr>
        <w:t>Row Counts Reconciliation: Market Sizes: raw 85 -&gt; 72 data rows -&gt; 792 tidy rows (8 footer rows parsed). Retail Channels: raw 877 -&gt; 864 data rows -&gt; 9,504 tidy rows -&gt; 9,108 clean rows (36 redundant 'Total' rows removed; 8 footer rows). Pack Type: raw 542 -&gt; 530 data rows -&gt; 5,830 tidy rows (7 footer rows). Pack Size: raw 7,221 -&gt; 7,209 data rows -&gt; 79,299 tidy rows (7 footer rows).</w:t>
      </w:r>
    </w:p>
    <w:p>
      <w:pPr>
        <w:spacing w:after="40"/>
        <w:ind w:left="288"/>
      </w:pPr>
      <w:r>
        <w:rPr>
          <w:sz w:val="18"/>
        </w:rPr>
        <w:t>Reconciliation of Totals: Summing granular pack sizes (Pack Size != 'Total') within each pack type reproduces reported Pack Type totals within a mean difference of &lt; 0.07 million units (max discrepancy &lt; 0.8 million units across all years), which is mathematically attributable to 1-decimal rounding in raw source tables. Retail channel sub-shares sum cleanly to 100.0% within rounding tolerance.</w:t>
      </w:r>
    </w:p>
    <w:p>
      <w:pPr>
        <w:spacing w:after="40"/>
        <w:ind w:left="288"/>
      </w:pPr>
      <w:r>
        <w:rPr>
          <w:sz w:val="18"/>
        </w:rPr>
        <w:t>Reference: Programmatically verified in Section 10 of Datacleaner.ipynb.</w:t>
      </w:r>
    </w:p>
    <w:p>
      <w:pPr>
        <w:spacing w:before="160" w:after="40"/>
      </w:pPr>
      <w:r>
        <w:rPr>
          <w:b/>
          <w:color w:val="1B365D"/>
          <w:sz w:val="22"/>
        </w:rPr>
        <w:t>11 Check calculations</w:t>
        <w:br/>
      </w:r>
      <w:r>
        <w:rPr>
          <w:i/>
          <w:color w:val="646464"/>
          <w:sz w:val="18"/>
        </w:rPr>
        <w:t>Explain how missing values affect totals, averages, and denominators. Give the record count for each metric. State how you handle missing group keys.</w:t>
        <w:br/>
      </w:r>
      <w:r>
        <w:rPr>
          <w:b/>
          <w:sz w:val="20"/>
        </w:rPr>
        <w:t xml:space="preserve">Status: </w:t>
      </w:r>
      <w:r>
        <w:rPr>
          <w:b/>
          <w:color w:val="147832"/>
          <w:sz w:val="20"/>
        </w:rPr>
        <w:t>Done</w:t>
        <w:br/>
      </w:r>
      <w:r>
        <w:rPr>
          <w:b/>
          <w:sz w:val="19"/>
        </w:rPr>
        <w:t>Evidence or explanation:</w:t>
        <w:br/>
      </w:r>
    </w:p>
    <w:p>
      <w:pPr>
        <w:spacing w:after="40"/>
        <w:ind w:left="288"/>
      </w:pPr>
      <w:r>
        <w:rPr>
          <w:sz w:val="18"/>
        </w:rPr>
        <w:t>Impact of Missing Values: In RTD Coffee regional sums, India is omitted because its volume is unobserved (NaN). For channel penetration, including zeroes measures cross-market portfolio availability, while excluding zeroes measures average penetration among active markets.</w:t>
      </w:r>
    </w:p>
    <w:p>
      <w:pPr>
        <w:spacing w:after="40"/>
        <w:ind w:left="288"/>
      </w:pPr>
      <w:r>
        <w:rPr>
          <w:sz w:val="18"/>
        </w:rPr>
        <w:t>Record Counts by Metric: Market Sizes Volume: 396 observations (374 valid, 22 missing for India RTD); Market Sizes Value: 396 observations; Retail Channels (non-redundant): 9,108 observations (5,724 active non-zero, 3,384 inactive/0%); Pack Type: 5,830 observations; Pack Size: 79,299 observations.</w:t>
      </w:r>
    </w:p>
    <w:p>
      <w:pPr>
        <w:spacing w:after="40"/>
        <w:ind w:left="288"/>
      </w:pPr>
      <w:r>
        <w:rPr>
          <w:sz w:val="18"/>
        </w:rPr>
        <w:t>Missing Group Keys: 0 missing group keys across all datasets (no null or empty strings exist in any grouping dimension).</w:t>
      </w:r>
    </w:p>
    <w:p>
      <w:pPr>
        <w:spacing w:after="40"/>
        <w:ind w:left="288"/>
      </w:pPr>
      <w:r>
        <w:rPr>
          <w:sz w:val="18"/>
        </w:rPr>
        <w:t>Reference: Programmatically verified in Section 11 of Datacleaner.ipynb.</w:t>
      </w:r>
    </w:p>
    <w:p>
      <w:pPr>
        <w:spacing w:before="160" w:after="40"/>
      </w:pPr>
      <w:r>
        <w:rPr>
          <w:b/>
          <w:color w:val="1B365D"/>
          <w:sz w:val="22"/>
        </w:rPr>
        <w:t>12 Verify individual records</w:t>
        <w:br/>
      </w:r>
      <w:r>
        <w:rPr>
          <w:i/>
          <w:color w:val="646464"/>
          <w:sz w:val="18"/>
        </w:rPr>
        <w:t>Check five records, including difficult cases. Write the expected result and reason before checking the output. Show the original value, actual result, and whether it matches.</w:t>
        <w:br/>
      </w:r>
      <w:r>
        <w:rPr>
          <w:b/>
          <w:sz w:val="20"/>
        </w:rPr>
        <w:t xml:space="preserve">Status: </w:t>
      </w:r>
      <w:r>
        <w:rPr>
          <w:b/>
          <w:color w:val="147832"/>
          <w:sz w:val="20"/>
        </w:rPr>
        <w:t>Done</w:t>
        <w:br/>
      </w:r>
      <w:r>
        <w:rPr>
          <w:b/>
          <w:sz w:val="19"/>
        </w:rPr>
        <w:t>Evidence or explanation:</w:t>
        <w:br/>
      </w:r>
    </w:p>
    <w:p>
      <w:pPr>
        <w:spacing w:after="40"/>
        <w:ind w:left="288"/>
      </w:pPr>
      <w:r>
        <w:rPr>
          <w:sz w:val="18"/>
        </w:rPr>
        <w:t>Verified across five targeted cases in Section 12 of Datacleaner.ipynb with 100% agreement. Detailed audit table included in Section 4 below.</w:t>
      </w:r>
    </w:p>
    <w:p>
      <w:pPr>
        <w:spacing w:before="160" w:after="40"/>
      </w:pPr>
      <w:r>
        <w:rPr>
          <w:b/>
          <w:color w:val="1B365D"/>
          <w:sz w:val="22"/>
        </w:rPr>
        <w:t>13 Test reproducibility</w:t>
        <w:br/>
      </w:r>
      <w:r>
        <w:rPr>
          <w:i/>
          <w:color w:val="646464"/>
          <w:sz w:val="18"/>
        </w:rPr>
        <w:t>Restart and run all code from the original data using the listed dependencies. Give the command or notebook steps. Confirm that outputs match your submitted files.</w:t>
        <w:br/>
      </w:r>
      <w:r>
        <w:rPr>
          <w:b/>
          <w:sz w:val="20"/>
        </w:rPr>
        <w:t xml:space="preserve">Status: </w:t>
      </w:r>
      <w:r>
        <w:rPr>
          <w:b/>
          <w:color w:val="147832"/>
          <w:sz w:val="20"/>
        </w:rPr>
        <w:t>Done</w:t>
        <w:br/>
      </w:r>
      <w:r>
        <w:rPr>
          <w:b/>
          <w:sz w:val="19"/>
        </w:rPr>
        <w:t>Evidence or explanation:</w:t>
        <w:br/>
      </w:r>
    </w:p>
    <w:p>
      <w:pPr>
        <w:spacing w:after="40"/>
        <w:ind w:left="288"/>
      </w:pPr>
      <w:r>
        <w:rPr>
          <w:sz w:val="18"/>
        </w:rPr>
        <w:t>Dependencies: Python 3.10+ (tested on Python 3.14.0), pandas &gt;= 2.0, xlrd &gt;= 2.0.1, numpy &gt;= 1.24, nbformat &gt;= 5.11, nbclient &gt;= 0.11.</w:t>
      </w:r>
    </w:p>
    <w:p>
      <w:pPr>
        <w:spacing w:after="40"/>
        <w:ind w:left="288"/>
      </w:pPr>
      <w:r>
        <w:rPr>
          <w:sz w:val="18"/>
        </w:rPr>
        <w:t>Reproducibility Command: python -m jupyter nbconvert --to notebook --execute Datacleaner.ipynb --output Datacleaner.ipynb</w:t>
      </w:r>
    </w:p>
    <w:p>
      <w:pPr>
        <w:spacing w:after="40"/>
        <w:ind w:left="288"/>
      </w:pPr>
      <w:r>
        <w:rPr>
          <w:sz w:val="18"/>
        </w:rPr>
        <w:t>Clean Output Directory: Clean datasets exported to DATA/clean/: clean_market_channels_merged.csv (858 KB), clean_market_sizes_tidy.csv (23 KB), clean_market_sizes_wide.csv (10 KB), clean_retail_channels_tidy.csv (611 KB), clean_retail_channels_wide.csv (85 KB), clean_pack_type_tidy.csv (561 KB), cleaned_sample_50.csv (5 KB).</w:t>
      </w:r>
    </w:p>
    <w:p>
      <w:pPr>
        <w:spacing w:after="40"/>
        <w:ind w:left="288"/>
      </w:pPr>
      <w:r>
        <w:rPr>
          <w:sz w:val="18"/>
        </w:rPr>
        <w:t>Reference: Executed and verified in Section 13 of Datacleaner.ipynb.</w:t>
      </w:r>
    </w:p>
    <w:p>
      <w:pPr>
        <w:spacing w:before="160" w:after="40"/>
      </w:pPr>
      <w:r>
        <w:rPr>
          <w:b/>
          <w:color w:val="1B365D"/>
          <w:sz w:val="22"/>
        </w:rPr>
        <w:t>14 Document remaining limitations</w:t>
        <w:br/>
      </w:r>
      <w:r>
        <w:rPr>
          <w:i/>
          <w:color w:val="646464"/>
          <w:sz w:val="18"/>
        </w:rPr>
        <w:t>List unresolved issues. Explain how they could affect your conclusions and what information you still need.</w:t>
        <w:br/>
      </w:r>
      <w:r>
        <w:rPr>
          <w:b/>
          <w:sz w:val="20"/>
        </w:rPr>
        <w:t xml:space="preserve">Status: </w:t>
      </w:r>
      <w:r>
        <w:rPr>
          <w:b/>
          <w:color w:val="147832"/>
          <w:sz w:val="20"/>
        </w:rPr>
        <w:t>Done</w:t>
        <w:br/>
      </w:r>
      <w:r>
        <w:rPr>
          <w:b/>
          <w:sz w:val="19"/>
        </w:rPr>
        <w:t>Evidence or explanation:</w:t>
        <w:br/>
      </w:r>
    </w:p>
    <w:p>
      <w:pPr>
        <w:spacing w:after="40"/>
        <w:ind w:left="288"/>
      </w:pPr>
      <w:r>
        <w:rPr>
          <w:sz w:val="18"/>
        </w:rPr>
        <w:t>1. Cross-Country Currency Comparability: Country retail value is in local currency (CNY, INR, JPY, EUR, GBP, THB) without annual FX exchange rates. Direct revenue comparisons require linking an auxiliary exchange-rate table (e.g. IMF/World Bank annual FX rates). Strategic analysis must prioritize volume metrics (Tonnes and Litres).</w:t>
      </w:r>
    </w:p>
    <w:p>
      <w:pPr>
        <w:spacing w:after="40"/>
        <w:ind w:left="288"/>
      </w:pPr>
      <w:r>
        <w:rPr>
          <w:sz w:val="18"/>
        </w:rPr>
        <w:t>2. Missing India RTD Coffee Data: India RTD coffee is unobserved in Passport. Market sizing for India must be restricted to Packaged Coffee.</w:t>
      </w:r>
    </w:p>
    <w:p>
      <w:pPr>
        <w:spacing w:after="40"/>
        <w:ind w:left="288"/>
      </w:pPr>
      <w:r>
        <w:rPr>
          <w:sz w:val="18"/>
        </w:rPr>
        <w:t>3. Exclusion of Foodservice / On-Premise Consumption: Passport covers off-trade retail channels only. Out-of-home consumption (cafés, restaurants, specialty coffee shops) is unobserved.</w:t>
      </w:r>
    </w:p>
    <w:p>
      <w:pPr>
        <w:spacing w:after="40"/>
        <w:ind w:left="288"/>
      </w:pPr>
      <w:r>
        <w:rPr>
          <w:sz w:val="18"/>
        </w:rPr>
        <w:t>4. Rounding in Granular Pack Sizes: Granular pack sizes have minor decimal rounding differences (&lt; 0.8 million units) against reported totals.</w:t>
      </w:r>
    </w:p>
    <w:p>
      <w:pPr>
        <w:spacing w:after="40"/>
        <w:ind w:left="288"/>
      </w:pPr>
      <w:r>
        <w:rPr>
          <w:sz w:val="18"/>
        </w:rPr>
        <w:t>Reference: Documented in Section 14 of Datacleaner.ipynb and data-fit.md (lines 79–84).</w:t>
      </w:r>
    </w:p>
    <w:p>
      <w:pPr>
        <w:spacing w:before="280" w:after="80"/>
      </w:pPr>
      <w:r>
        <w:rPr>
          <w:b/>
          <w:color w:val="1B365D"/>
          <w:sz w:val="30"/>
        </w:rPr>
        <w:t>4. Five Record Checks (Original, Expected, Actual)</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B365D"/>
            <w:tcMar>
              <w:top w:w="60" w:type="dxa"/>
              <w:bottom w:w="60" w:type="dxa"/>
              <w:left w:w="90" w:type="dxa"/>
              <w:right w:w="90" w:type="dxa"/>
            </w:tcMar>
          </w:tcPr>
          <w:p>
            <w:pPr>
              <w:spacing w:after="0"/>
            </w:pPr>
            <w:r>
              <w:rPr>
                <w:b/>
                <w:color w:val="FFFFFF"/>
                <w:sz w:val="17"/>
              </w:rPr>
              <w:t>Case</w:t>
            </w:r>
          </w:p>
        </w:tc>
        <w:tc>
          <w:tcPr>
            <w:tcW w:type="dxa" w:w="1704"/>
            <w:shd w:fill="1B365D"/>
            <w:tcMar>
              <w:top w:w="60" w:type="dxa"/>
              <w:bottom w:w="60" w:type="dxa"/>
              <w:left w:w="90" w:type="dxa"/>
              <w:right w:w="90" w:type="dxa"/>
            </w:tcMar>
          </w:tcPr>
          <w:p>
            <w:pPr>
              <w:spacing w:after="0"/>
            </w:pPr>
            <w:r>
              <w:rPr>
                <w:b/>
                <w:color w:val="FFFFFF"/>
                <w:sz w:val="17"/>
              </w:rPr>
              <w:t>Original Raw Value</w:t>
            </w:r>
          </w:p>
        </w:tc>
        <w:tc>
          <w:tcPr>
            <w:tcW w:type="dxa" w:w="1704"/>
            <w:shd w:fill="1B365D"/>
            <w:tcMar>
              <w:top w:w="60" w:type="dxa"/>
              <w:bottom w:w="60" w:type="dxa"/>
              <w:left w:w="90" w:type="dxa"/>
              <w:right w:w="90" w:type="dxa"/>
            </w:tcMar>
          </w:tcPr>
          <w:p>
            <w:pPr>
              <w:spacing w:after="0"/>
            </w:pPr>
            <w:r>
              <w:rPr>
                <w:b/>
                <w:color w:val="FFFFFF"/>
                <w:sz w:val="17"/>
              </w:rPr>
              <w:t>Expected Result</w:t>
            </w:r>
          </w:p>
        </w:tc>
        <w:tc>
          <w:tcPr>
            <w:tcW w:type="dxa" w:w="1704"/>
            <w:shd w:fill="1B365D"/>
            <w:tcMar>
              <w:top w:w="60" w:type="dxa"/>
              <w:bottom w:w="60" w:type="dxa"/>
              <w:left w:w="90" w:type="dxa"/>
              <w:right w:w="90" w:type="dxa"/>
            </w:tcMar>
          </w:tcPr>
          <w:p>
            <w:pPr>
              <w:spacing w:after="0"/>
            </w:pPr>
            <w:r>
              <w:rPr>
                <w:b/>
                <w:color w:val="FFFFFF"/>
                <w:sz w:val="17"/>
              </w:rPr>
              <w:t>Actual Result</w:t>
            </w:r>
          </w:p>
        </w:tc>
        <w:tc>
          <w:tcPr>
            <w:tcW w:type="dxa" w:w="1704"/>
            <w:shd w:fill="1B365D"/>
            <w:tcMar>
              <w:top w:w="60" w:type="dxa"/>
              <w:bottom w:w="60" w:type="dxa"/>
              <w:left w:w="90" w:type="dxa"/>
              <w:right w:w="90" w:type="dxa"/>
            </w:tcMar>
          </w:tcPr>
          <w:p>
            <w:pPr>
              <w:spacing w:after="0"/>
            </w:pPr>
            <w:r>
              <w:rPr>
                <w:b/>
                <w:color w:val="FFFFFF"/>
                <w:sz w:val="17"/>
              </w:rPr>
              <w:t>Match?</w:t>
            </w:r>
          </w:p>
        </w:tc>
        <w:tc>
          <w:tcPr>
            <w:tcW w:type="dxa" w:w="1704"/>
            <w:shd w:fill="1B365D"/>
            <w:tcMar>
              <w:top w:w="60" w:type="dxa"/>
              <w:bottom w:w="60" w:type="dxa"/>
              <w:left w:w="90" w:type="dxa"/>
              <w:right w:w="90" w:type="dxa"/>
            </w:tcMar>
          </w:tcPr>
          <w:p>
            <w:pPr>
              <w:spacing w:after="0"/>
            </w:pPr>
            <w:r>
              <w:rPr>
                <w:b/>
                <w:color w:val="FFFFFF"/>
                <w:sz w:val="17"/>
              </w:rPr>
              <w:t>Reason &amp; Verification Scope</w:t>
            </w:r>
          </w:p>
        </w:tc>
      </w:tr>
      <w:tr>
        <w:tc>
          <w:tcPr>
            <w:tcW w:type="dxa" w:w="1704"/>
            <w:shd w:fill="FFFFFF"/>
            <w:tcMar>
              <w:top w:w="50" w:type="dxa"/>
              <w:bottom w:w="50" w:type="dxa"/>
              <w:left w:w="80" w:type="dxa"/>
              <w:right w:w="80" w:type="dxa"/>
            </w:tcMar>
          </w:tcPr>
          <w:p>
            <w:pPr>
              <w:spacing w:after="0"/>
            </w:pPr>
            <w:r>
              <w:rPr>
                <w:color w:val="212121"/>
                <w:sz w:val="17"/>
              </w:rPr>
              <w:t>1. China Coffee Volume 2025</w:t>
            </w:r>
          </w:p>
        </w:tc>
        <w:tc>
          <w:tcPr>
            <w:tcW w:type="dxa" w:w="1704"/>
            <w:shd w:fill="FFFFFF"/>
            <w:tcMar>
              <w:top w:w="50" w:type="dxa"/>
              <w:bottom w:w="50" w:type="dxa"/>
              <w:left w:w="80" w:type="dxa"/>
              <w:right w:w="80" w:type="dxa"/>
            </w:tcMar>
          </w:tcPr>
          <w:p>
            <w:pPr>
              <w:spacing w:after="0"/>
            </w:pPr>
            <w:r>
              <w:rPr>
                <w:color w:val="212121"/>
                <w:sz w:val="17"/>
              </w:rPr>
              <w:t>61314.5</w:t>
            </w:r>
          </w:p>
        </w:tc>
        <w:tc>
          <w:tcPr>
            <w:tcW w:type="dxa" w:w="1704"/>
            <w:shd w:fill="FFFFFF"/>
            <w:tcMar>
              <w:top w:w="50" w:type="dxa"/>
              <w:bottom w:w="50" w:type="dxa"/>
              <w:left w:w="80" w:type="dxa"/>
              <w:right w:w="80" w:type="dxa"/>
            </w:tcMar>
          </w:tcPr>
          <w:p>
            <w:pPr>
              <w:spacing w:after="0"/>
            </w:pPr>
            <w:r>
              <w:rPr>
                <w:color w:val="212121"/>
                <w:sz w:val="17"/>
              </w:rPr>
              <w:t>61,314.5 Tonnes</w:t>
            </w:r>
          </w:p>
        </w:tc>
        <w:tc>
          <w:tcPr>
            <w:tcW w:type="dxa" w:w="1704"/>
            <w:shd w:fill="FFFFFF"/>
            <w:tcMar>
              <w:top w:w="50" w:type="dxa"/>
              <w:bottom w:w="50" w:type="dxa"/>
              <w:left w:w="80" w:type="dxa"/>
              <w:right w:w="80" w:type="dxa"/>
            </w:tcMar>
          </w:tcPr>
          <w:p>
            <w:pPr>
              <w:spacing w:after="0"/>
            </w:pPr>
            <w:r>
              <w:rPr>
                <w:color w:val="212121"/>
                <w:sz w:val="17"/>
              </w:rPr>
              <w:t>61,314.5 Tonnes</w:t>
            </w:r>
          </w:p>
        </w:tc>
        <w:tc>
          <w:tcPr>
            <w:tcW w:type="dxa" w:w="1704"/>
            <w:shd w:fill="FFFFFF"/>
            <w:tcMar>
              <w:top w:w="50" w:type="dxa"/>
              <w:bottom w:w="50" w:type="dxa"/>
              <w:left w:w="80" w:type="dxa"/>
              <w:right w:w="80" w:type="dxa"/>
            </w:tcMar>
          </w:tcPr>
          <w:p>
            <w:pPr>
              <w:spacing w:after="0"/>
            </w:pPr>
            <w:r>
              <w:rPr>
                <w:color w:val="212121"/>
                <w:sz w:val="17"/>
              </w:rPr>
              <w:t>Yes</w:t>
            </w:r>
          </w:p>
        </w:tc>
        <w:tc>
          <w:tcPr>
            <w:tcW w:type="dxa" w:w="1704"/>
            <w:shd w:fill="FFFFFF"/>
            <w:tcMar>
              <w:top w:w="50" w:type="dxa"/>
              <w:bottom w:w="50" w:type="dxa"/>
              <w:left w:w="80" w:type="dxa"/>
              <w:right w:w="80" w:type="dxa"/>
            </w:tcMar>
          </w:tcPr>
          <w:p>
            <w:pPr>
              <w:spacing w:after="0"/>
            </w:pPr>
            <w:r>
              <w:rPr>
                <w:color w:val="212121"/>
                <w:sz w:val="17"/>
              </w:rPr>
              <w:t>Forecast home market volume benchmark</w:t>
            </w:r>
          </w:p>
        </w:tc>
      </w:tr>
      <w:tr>
        <w:tc>
          <w:tcPr>
            <w:tcW w:type="dxa" w:w="1704"/>
            <w:shd w:fill="F7F9FC"/>
            <w:tcMar>
              <w:top w:w="50" w:type="dxa"/>
              <w:bottom w:w="50" w:type="dxa"/>
              <w:left w:w="80" w:type="dxa"/>
              <w:right w:w="80" w:type="dxa"/>
            </w:tcMar>
          </w:tcPr>
          <w:p>
            <w:pPr>
              <w:spacing w:after="0"/>
            </w:pPr>
            <w:r>
              <w:rPr>
                <w:color w:val="212121"/>
                <w:sz w:val="17"/>
              </w:rPr>
              <w:t>2. India RTD Coffee Volume 2020</w:t>
            </w:r>
          </w:p>
        </w:tc>
        <w:tc>
          <w:tcPr>
            <w:tcW w:type="dxa" w:w="1704"/>
            <w:shd w:fill="F7F9FC"/>
            <w:tcMar>
              <w:top w:w="50" w:type="dxa"/>
              <w:bottom w:w="50" w:type="dxa"/>
              <w:left w:w="80" w:type="dxa"/>
              <w:right w:w="80" w:type="dxa"/>
            </w:tcMar>
          </w:tcPr>
          <w:p>
            <w:pPr>
              <w:spacing w:after="0"/>
            </w:pPr>
            <w:r>
              <w:rPr>
                <w:color w:val="212121"/>
                <w:sz w:val="17"/>
              </w:rPr>
              <w:t>'-' (Hyphen)</w:t>
            </w:r>
          </w:p>
        </w:tc>
        <w:tc>
          <w:tcPr>
            <w:tcW w:type="dxa" w:w="1704"/>
            <w:shd w:fill="F7F9FC"/>
            <w:tcMar>
              <w:top w:w="50" w:type="dxa"/>
              <w:bottom w:w="50" w:type="dxa"/>
              <w:left w:w="80" w:type="dxa"/>
              <w:right w:w="80" w:type="dxa"/>
            </w:tcMar>
          </w:tcPr>
          <w:p>
            <w:pPr>
              <w:spacing w:after="0"/>
            </w:pPr>
            <w:r>
              <w:rPr>
                <w:color w:val="212121"/>
                <w:sz w:val="17"/>
              </w:rPr>
              <w:t>NaN (Unobserved)</w:t>
            </w:r>
          </w:p>
        </w:tc>
        <w:tc>
          <w:tcPr>
            <w:tcW w:type="dxa" w:w="1704"/>
            <w:shd w:fill="F7F9FC"/>
            <w:tcMar>
              <w:top w:w="50" w:type="dxa"/>
              <w:bottom w:w="50" w:type="dxa"/>
              <w:left w:w="80" w:type="dxa"/>
              <w:right w:w="80" w:type="dxa"/>
            </w:tcMar>
          </w:tcPr>
          <w:p>
            <w:pPr>
              <w:spacing w:after="0"/>
            </w:pPr>
            <w:r>
              <w:rPr>
                <w:color w:val="212121"/>
                <w:sz w:val="17"/>
              </w:rPr>
              <w:t>NaN</w:t>
            </w:r>
          </w:p>
        </w:tc>
        <w:tc>
          <w:tcPr>
            <w:tcW w:type="dxa" w:w="1704"/>
            <w:shd w:fill="F7F9FC"/>
            <w:tcMar>
              <w:top w:w="50" w:type="dxa"/>
              <w:bottom w:w="50" w:type="dxa"/>
              <w:left w:w="80" w:type="dxa"/>
              <w:right w:w="80" w:type="dxa"/>
            </w:tcMar>
          </w:tcPr>
          <w:p>
            <w:pPr>
              <w:spacing w:after="0"/>
            </w:pPr>
            <w:r>
              <w:rPr>
                <w:color w:val="212121"/>
                <w:sz w:val="17"/>
              </w:rPr>
              <w:t>Yes</w:t>
            </w:r>
          </w:p>
        </w:tc>
        <w:tc>
          <w:tcPr>
            <w:tcW w:type="dxa" w:w="1704"/>
            <w:shd w:fill="F7F9FC"/>
            <w:tcMar>
              <w:top w:w="50" w:type="dxa"/>
              <w:bottom w:w="50" w:type="dxa"/>
              <w:left w:w="80" w:type="dxa"/>
              <w:right w:w="80" w:type="dxa"/>
            </w:tcMar>
          </w:tcPr>
          <w:p>
            <w:pPr>
              <w:spacing w:after="0"/>
            </w:pPr>
            <w:r>
              <w:rPr>
                <w:color w:val="212121"/>
                <w:sz w:val="17"/>
              </w:rPr>
              <w:t>Unobserved category preserved without false zero imputation</w:t>
            </w:r>
          </w:p>
        </w:tc>
      </w:tr>
      <w:tr>
        <w:tc>
          <w:tcPr>
            <w:tcW w:type="dxa" w:w="1704"/>
            <w:shd w:fill="FFFFFF"/>
            <w:tcMar>
              <w:top w:w="50" w:type="dxa"/>
              <w:bottom w:w="50" w:type="dxa"/>
              <w:left w:w="80" w:type="dxa"/>
              <w:right w:w="80" w:type="dxa"/>
            </w:tcMar>
          </w:tcPr>
          <w:p>
            <w:pPr>
              <w:spacing w:after="0"/>
            </w:pPr>
            <w:r>
              <w:rPr>
                <w:color w:val="212121"/>
                <w:sz w:val="17"/>
              </w:rPr>
              <w:t>3. China Coffee E-Commerce 2025</w:t>
            </w:r>
          </w:p>
        </w:tc>
        <w:tc>
          <w:tcPr>
            <w:tcW w:type="dxa" w:w="1704"/>
            <w:shd w:fill="FFFFFF"/>
            <w:tcMar>
              <w:top w:w="50" w:type="dxa"/>
              <w:bottom w:w="50" w:type="dxa"/>
              <w:left w:w="80" w:type="dxa"/>
              <w:right w:w="80" w:type="dxa"/>
            </w:tcMar>
          </w:tcPr>
          <w:p>
            <w:pPr>
              <w:spacing w:after="0"/>
            </w:pPr>
            <w:r>
              <w:rPr>
                <w:color w:val="212121"/>
                <w:sz w:val="17"/>
              </w:rPr>
              <w:t>46.7</w:t>
            </w:r>
          </w:p>
        </w:tc>
        <w:tc>
          <w:tcPr>
            <w:tcW w:type="dxa" w:w="1704"/>
            <w:shd w:fill="FFFFFF"/>
            <w:tcMar>
              <w:top w:w="50" w:type="dxa"/>
              <w:bottom w:w="50" w:type="dxa"/>
              <w:left w:w="80" w:type="dxa"/>
              <w:right w:w="80" w:type="dxa"/>
            </w:tcMar>
          </w:tcPr>
          <w:p>
            <w:pPr>
              <w:spacing w:after="0"/>
            </w:pPr>
            <w:r>
              <w:rPr>
                <w:color w:val="212121"/>
                <w:sz w:val="17"/>
              </w:rPr>
              <w:t>46.7%</w:t>
            </w:r>
          </w:p>
        </w:tc>
        <w:tc>
          <w:tcPr>
            <w:tcW w:type="dxa" w:w="1704"/>
            <w:shd w:fill="FFFFFF"/>
            <w:tcMar>
              <w:top w:w="50" w:type="dxa"/>
              <w:bottom w:w="50" w:type="dxa"/>
              <w:left w:w="80" w:type="dxa"/>
              <w:right w:w="80" w:type="dxa"/>
            </w:tcMar>
          </w:tcPr>
          <w:p>
            <w:pPr>
              <w:spacing w:after="0"/>
            </w:pPr>
            <w:r>
              <w:rPr>
                <w:color w:val="212121"/>
                <w:sz w:val="17"/>
              </w:rPr>
              <w:t>46.7%</w:t>
            </w:r>
          </w:p>
        </w:tc>
        <w:tc>
          <w:tcPr>
            <w:tcW w:type="dxa" w:w="1704"/>
            <w:shd w:fill="FFFFFF"/>
            <w:tcMar>
              <w:top w:w="50" w:type="dxa"/>
              <w:bottom w:w="50" w:type="dxa"/>
              <w:left w:w="80" w:type="dxa"/>
              <w:right w:w="80" w:type="dxa"/>
            </w:tcMar>
          </w:tcPr>
          <w:p>
            <w:pPr>
              <w:spacing w:after="0"/>
            </w:pPr>
            <w:r>
              <w:rPr>
                <w:color w:val="212121"/>
                <w:sz w:val="17"/>
              </w:rPr>
              <w:t>Yes</w:t>
            </w:r>
          </w:p>
        </w:tc>
        <w:tc>
          <w:tcPr>
            <w:tcW w:type="dxa" w:w="1704"/>
            <w:shd w:fill="FFFFFF"/>
            <w:tcMar>
              <w:top w:w="50" w:type="dxa"/>
              <w:bottom w:w="50" w:type="dxa"/>
              <w:left w:w="80" w:type="dxa"/>
              <w:right w:w="80" w:type="dxa"/>
            </w:tcMar>
          </w:tcPr>
          <w:p>
            <w:pPr>
              <w:spacing w:after="0"/>
            </w:pPr>
            <w:r>
              <w:rPr>
                <w:color w:val="212121"/>
                <w:sz w:val="17"/>
              </w:rPr>
              <w:t>Verifies digital channel transition (expanded from 10.8% in 2015)</w:t>
            </w:r>
          </w:p>
        </w:tc>
      </w:tr>
      <w:tr>
        <w:tc>
          <w:tcPr>
            <w:tcW w:type="dxa" w:w="1704"/>
            <w:shd w:fill="F7F9FC"/>
            <w:tcMar>
              <w:top w:w="50" w:type="dxa"/>
              <w:bottom w:w="50" w:type="dxa"/>
              <w:left w:w="80" w:type="dxa"/>
              <w:right w:w="80" w:type="dxa"/>
            </w:tcMar>
          </w:tcPr>
          <w:p>
            <w:pPr>
              <w:spacing w:after="0"/>
            </w:pPr>
            <w:r>
              <w:rPr>
                <w:color w:val="212121"/>
                <w:sz w:val="17"/>
              </w:rPr>
              <w:t>4. PET Jars Text Standardization</w:t>
            </w:r>
          </w:p>
        </w:tc>
        <w:tc>
          <w:tcPr>
            <w:tcW w:type="dxa" w:w="1704"/>
            <w:shd w:fill="F7F9FC"/>
            <w:tcMar>
              <w:top w:w="50" w:type="dxa"/>
              <w:bottom w:w="50" w:type="dxa"/>
              <w:left w:w="80" w:type="dxa"/>
              <w:right w:w="80" w:type="dxa"/>
            </w:tcMar>
          </w:tcPr>
          <w:p>
            <w:pPr>
              <w:spacing w:after="0"/>
            </w:pPr>
            <w:r>
              <w:rPr>
                <w:color w:val="212121"/>
                <w:sz w:val="17"/>
              </w:rPr>
              <w:t>'PET Jars '</w:t>
            </w:r>
          </w:p>
        </w:tc>
        <w:tc>
          <w:tcPr>
            <w:tcW w:type="dxa" w:w="1704"/>
            <w:shd w:fill="F7F9FC"/>
            <w:tcMar>
              <w:top w:w="50" w:type="dxa"/>
              <w:bottom w:w="50" w:type="dxa"/>
              <w:left w:w="80" w:type="dxa"/>
              <w:right w:w="80" w:type="dxa"/>
            </w:tcMar>
          </w:tcPr>
          <w:p>
            <w:pPr>
              <w:spacing w:after="0"/>
            </w:pPr>
            <w:r>
              <w:rPr>
                <w:color w:val="212121"/>
                <w:sz w:val="17"/>
              </w:rPr>
              <w:t>'PET Jars'</w:t>
            </w:r>
          </w:p>
        </w:tc>
        <w:tc>
          <w:tcPr>
            <w:tcW w:type="dxa" w:w="1704"/>
            <w:shd w:fill="F7F9FC"/>
            <w:tcMar>
              <w:top w:w="50" w:type="dxa"/>
              <w:bottom w:w="50" w:type="dxa"/>
              <w:left w:w="80" w:type="dxa"/>
              <w:right w:w="80" w:type="dxa"/>
            </w:tcMar>
          </w:tcPr>
          <w:p>
            <w:pPr>
              <w:spacing w:after="0"/>
            </w:pPr>
            <w:r>
              <w:rPr>
                <w:color w:val="212121"/>
                <w:sz w:val="17"/>
              </w:rPr>
              <w:t>'PET Jars'</w:t>
            </w:r>
          </w:p>
        </w:tc>
        <w:tc>
          <w:tcPr>
            <w:tcW w:type="dxa" w:w="1704"/>
            <w:shd w:fill="F7F9FC"/>
            <w:tcMar>
              <w:top w:w="50" w:type="dxa"/>
              <w:bottom w:w="50" w:type="dxa"/>
              <w:left w:w="80" w:type="dxa"/>
              <w:right w:w="80" w:type="dxa"/>
            </w:tcMar>
          </w:tcPr>
          <w:p>
            <w:pPr>
              <w:spacing w:after="0"/>
            </w:pPr>
            <w:r>
              <w:rPr>
                <w:color w:val="212121"/>
                <w:sz w:val="17"/>
              </w:rPr>
              <w:t>Yes</w:t>
            </w:r>
          </w:p>
        </w:tc>
        <w:tc>
          <w:tcPr>
            <w:tcW w:type="dxa" w:w="1704"/>
            <w:shd w:fill="F7F9FC"/>
            <w:tcMar>
              <w:top w:w="50" w:type="dxa"/>
              <w:bottom w:w="50" w:type="dxa"/>
              <w:left w:w="80" w:type="dxa"/>
              <w:right w:w="80" w:type="dxa"/>
            </w:tcMar>
          </w:tcPr>
          <w:p>
            <w:pPr>
              <w:spacing w:after="0"/>
            </w:pPr>
            <w:r>
              <w:rPr>
                <w:color w:val="212121"/>
                <w:sz w:val="17"/>
              </w:rPr>
              <w:t>Verifies elimination of trailing whitespace</w:t>
            </w:r>
          </w:p>
        </w:tc>
      </w:tr>
      <w:tr>
        <w:tc>
          <w:tcPr>
            <w:tcW w:type="dxa" w:w="1704"/>
            <w:shd w:fill="FFFFFF"/>
            <w:tcMar>
              <w:top w:w="50" w:type="dxa"/>
              <w:bottom w:w="50" w:type="dxa"/>
              <w:left w:w="80" w:type="dxa"/>
              <w:right w:w="80" w:type="dxa"/>
            </w:tcMar>
          </w:tcPr>
          <w:p>
            <w:pPr>
              <w:spacing w:after="0"/>
            </w:pPr>
            <w:r>
              <w:rPr>
                <w:color w:val="212121"/>
                <w:sz w:val="17"/>
              </w:rPr>
              <w:t>5. Japan Coffee Value RSP 2023</w:t>
            </w:r>
          </w:p>
        </w:tc>
        <w:tc>
          <w:tcPr>
            <w:tcW w:type="dxa" w:w="1704"/>
            <w:shd w:fill="FFFFFF"/>
            <w:tcMar>
              <w:top w:w="50" w:type="dxa"/>
              <w:bottom w:w="50" w:type="dxa"/>
              <w:left w:w="80" w:type="dxa"/>
              <w:right w:w="80" w:type="dxa"/>
            </w:tcMar>
          </w:tcPr>
          <w:p>
            <w:pPr>
              <w:spacing w:after="0"/>
            </w:pPr>
            <w:r>
              <w:rPr>
                <w:color w:val="212121"/>
                <w:sz w:val="17"/>
              </w:rPr>
              <w:t>415.5</w:t>
            </w:r>
          </w:p>
        </w:tc>
        <w:tc>
          <w:tcPr>
            <w:tcW w:type="dxa" w:w="1704"/>
            <w:shd w:fill="FFFFFF"/>
            <w:tcMar>
              <w:top w:w="50" w:type="dxa"/>
              <w:bottom w:w="50" w:type="dxa"/>
              <w:left w:w="80" w:type="dxa"/>
              <w:right w:w="80" w:type="dxa"/>
            </w:tcMar>
          </w:tcPr>
          <w:p>
            <w:pPr>
              <w:spacing w:after="0"/>
            </w:pPr>
            <w:r>
              <w:rPr>
                <w:color w:val="212121"/>
                <w:sz w:val="17"/>
              </w:rPr>
              <w:t>415.5 JPY billion</w:t>
            </w:r>
          </w:p>
        </w:tc>
        <w:tc>
          <w:tcPr>
            <w:tcW w:type="dxa" w:w="1704"/>
            <w:shd w:fill="FFFFFF"/>
            <w:tcMar>
              <w:top w:w="50" w:type="dxa"/>
              <w:bottom w:w="50" w:type="dxa"/>
              <w:left w:w="80" w:type="dxa"/>
              <w:right w:w="80" w:type="dxa"/>
            </w:tcMar>
          </w:tcPr>
          <w:p>
            <w:pPr>
              <w:spacing w:after="0"/>
            </w:pPr>
            <w:r>
              <w:rPr>
                <w:color w:val="212121"/>
                <w:sz w:val="17"/>
              </w:rPr>
              <w:t>415.5 JPY billion</w:t>
            </w:r>
          </w:p>
        </w:tc>
        <w:tc>
          <w:tcPr>
            <w:tcW w:type="dxa" w:w="1704"/>
            <w:shd w:fill="FFFFFF"/>
            <w:tcMar>
              <w:top w:w="50" w:type="dxa"/>
              <w:bottom w:w="50" w:type="dxa"/>
              <w:left w:w="80" w:type="dxa"/>
              <w:right w:w="80" w:type="dxa"/>
            </w:tcMar>
          </w:tcPr>
          <w:p>
            <w:pPr>
              <w:spacing w:after="0"/>
            </w:pPr>
            <w:r>
              <w:rPr>
                <w:color w:val="212121"/>
                <w:sz w:val="17"/>
              </w:rPr>
              <w:t>Yes</w:t>
            </w:r>
          </w:p>
        </w:tc>
        <w:tc>
          <w:tcPr>
            <w:tcW w:type="dxa" w:w="1704"/>
            <w:shd w:fill="FFFFFF"/>
            <w:tcMar>
              <w:top w:w="50" w:type="dxa"/>
              <w:bottom w:w="50" w:type="dxa"/>
              <w:left w:w="80" w:type="dxa"/>
              <w:right w:w="80" w:type="dxa"/>
            </w:tcMar>
          </w:tcPr>
          <w:p>
            <w:pPr>
              <w:spacing w:after="0"/>
            </w:pPr>
            <w:r>
              <w:rPr>
                <w:color w:val="212121"/>
                <w:sz w:val="17"/>
              </w:rPr>
              <w:t>Verifies currency unit and scale preservation (JPY billion)</w:t>
            </w:r>
          </w:p>
        </w:tc>
      </w:tr>
    </w:tbl>
    <w:p>
      <w:pPr>
        <w:spacing w:after="60"/>
      </w:pPr>
    </w:p>
    <w:p>
      <w:pPr>
        <w:spacing w:before="280" w:after="80"/>
      </w:pPr>
      <w:r>
        <w:rPr>
          <w:b/>
          <w:color w:val="1B365D"/>
          <w:sz w:val="30"/>
        </w:rPr>
        <w:t>5. Cleaned Data Sample (50 Representative Rows)</w:t>
      </w:r>
    </w:p>
    <w:p>
      <w:pPr>
        <w:spacing w:after="80"/>
      </w:pPr>
      <w:r>
        <w:rPr>
          <w:i/>
          <w:sz w:val="18"/>
        </w:rPr>
        <w:t>Sample Selection Rationale: The 50 records below are drawn from clean_market_channels_merged.csv to represent key strategic entry markets (China, Japan, Thailand, India, USA), both product categories (Coffee in Tonnes, RTD Coffee in Million Litres), critical retail channels (E-Commerce, Supermarkets, Hypermarkets, Convenience Stores), and difficult edge cases (e.g. unobserved India RTD volume preserved as NaN).</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B365D"/>
            <w:tcMar>
              <w:top w:w="60" w:type="dxa"/>
              <w:bottom w:w="60" w:type="dxa"/>
              <w:left w:w="90" w:type="dxa"/>
              <w:right w:w="90" w:type="dxa"/>
            </w:tcMar>
          </w:tcPr>
          <w:p>
            <w:pPr>
              <w:spacing w:after="0"/>
            </w:pPr>
            <w:r>
              <w:rPr>
                <w:b/>
                <w:color w:val="FFFFFF"/>
                <w:sz w:val="15"/>
              </w:rPr>
              <w:t>#</w:t>
            </w:r>
          </w:p>
        </w:tc>
        <w:tc>
          <w:tcPr>
            <w:tcW w:type="dxa" w:w="1136"/>
            <w:shd w:fill="1B365D"/>
            <w:tcMar>
              <w:top w:w="60" w:type="dxa"/>
              <w:bottom w:w="60" w:type="dxa"/>
              <w:left w:w="90" w:type="dxa"/>
              <w:right w:w="90" w:type="dxa"/>
            </w:tcMar>
          </w:tcPr>
          <w:p>
            <w:pPr>
              <w:spacing w:after="0"/>
            </w:pPr>
            <w:r>
              <w:rPr>
                <w:b/>
                <w:color w:val="FFFFFF"/>
                <w:sz w:val="15"/>
              </w:rPr>
              <w:t>Geography</w:t>
            </w:r>
          </w:p>
        </w:tc>
        <w:tc>
          <w:tcPr>
            <w:tcW w:type="dxa" w:w="1136"/>
            <w:shd w:fill="1B365D"/>
            <w:tcMar>
              <w:top w:w="60" w:type="dxa"/>
              <w:bottom w:w="60" w:type="dxa"/>
              <w:left w:w="90" w:type="dxa"/>
              <w:right w:w="90" w:type="dxa"/>
            </w:tcMar>
          </w:tcPr>
          <w:p>
            <w:pPr>
              <w:spacing w:after="0"/>
            </w:pPr>
            <w:r>
              <w:rPr>
                <w:b/>
                <w:color w:val="FFFFFF"/>
                <w:sz w:val="15"/>
              </w:rPr>
              <w:t>Category</w:t>
            </w:r>
          </w:p>
        </w:tc>
        <w:tc>
          <w:tcPr>
            <w:tcW w:type="dxa" w:w="1136"/>
            <w:shd w:fill="1B365D"/>
            <w:tcMar>
              <w:top w:w="60" w:type="dxa"/>
              <w:bottom w:w="60" w:type="dxa"/>
              <w:left w:w="90" w:type="dxa"/>
              <w:right w:w="90" w:type="dxa"/>
            </w:tcMar>
          </w:tcPr>
          <w:p>
            <w:pPr>
              <w:spacing w:after="0"/>
            </w:pPr>
            <w:r>
              <w:rPr>
                <w:b/>
                <w:color w:val="FFFFFF"/>
                <w:sz w:val="15"/>
              </w:rPr>
              <w:t>Outlet Type</w:t>
            </w:r>
          </w:p>
        </w:tc>
        <w:tc>
          <w:tcPr>
            <w:tcW w:type="dxa" w:w="1136"/>
            <w:shd w:fill="1B365D"/>
            <w:tcMar>
              <w:top w:w="60" w:type="dxa"/>
              <w:bottom w:w="60" w:type="dxa"/>
              <w:left w:w="90" w:type="dxa"/>
              <w:right w:w="90" w:type="dxa"/>
            </w:tcMar>
          </w:tcPr>
          <w:p>
            <w:pPr>
              <w:spacing w:after="0"/>
            </w:pPr>
            <w:r>
              <w:rPr>
                <w:b/>
                <w:color w:val="FFFFFF"/>
                <w:sz w:val="15"/>
              </w:rPr>
              <w:t>Year</w:t>
            </w:r>
          </w:p>
        </w:tc>
        <w:tc>
          <w:tcPr>
            <w:tcW w:type="dxa" w:w="1136"/>
            <w:shd w:fill="1B365D"/>
            <w:tcMar>
              <w:top w:w="60" w:type="dxa"/>
              <w:bottom w:w="60" w:type="dxa"/>
              <w:left w:w="90" w:type="dxa"/>
              <w:right w:w="90" w:type="dxa"/>
            </w:tcMar>
          </w:tcPr>
          <w:p>
            <w:pPr>
              <w:spacing w:after="0"/>
            </w:pPr>
            <w:r>
              <w:rPr>
                <w:b/>
                <w:color w:val="FFFFFF"/>
                <w:sz w:val="15"/>
              </w:rPr>
              <w:t>Share %</w:t>
            </w:r>
          </w:p>
        </w:tc>
        <w:tc>
          <w:tcPr>
            <w:tcW w:type="dxa" w:w="1136"/>
            <w:shd w:fill="1B365D"/>
            <w:tcMar>
              <w:top w:w="60" w:type="dxa"/>
              <w:bottom w:w="60" w:type="dxa"/>
              <w:left w:w="90" w:type="dxa"/>
              <w:right w:w="90" w:type="dxa"/>
            </w:tcMar>
          </w:tcPr>
          <w:p>
            <w:pPr>
              <w:spacing w:after="0"/>
            </w:pPr>
            <w:r>
              <w:rPr>
                <w:b/>
                <w:color w:val="FFFFFF"/>
                <w:sz w:val="15"/>
              </w:rPr>
              <w:t>Mkt Vol</w:t>
            </w:r>
          </w:p>
        </w:tc>
        <w:tc>
          <w:tcPr>
            <w:tcW w:type="dxa" w:w="1136"/>
            <w:shd w:fill="1B365D"/>
            <w:tcMar>
              <w:top w:w="60" w:type="dxa"/>
              <w:bottom w:w="60" w:type="dxa"/>
              <w:left w:w="90" w:type="dxa"/>
              <w:right w:w="90" w:type="dxa"/>
            </w:tcMar>
          </w:tcPr>
          <w:p>
            <w:pPr>
              <w:spacing w:after="0"/>
            </w:pPr>
            <w:r>
              <w:rPr>
                <w:b/>
                <w:color w:val="FFFFFF"/>
                <w:sz w:val="15"/>
              </w:rPr>
              <w:t>Unit</w:t>
            </w:r>
          </w:p>
        </w:tc>
        <w:tc>
          <w:tcPr>
            <w:tcW w:type="dxa" w:w="1136"/>
            <w:shd w:fill="1B365D"/>
            <w:tcMar>
              <w:top w:w="60" w:type="dxa"/>
              <w:bottom w:w="60" w:type="dxa"/>
              <w:left w:w="90" w:type="dxa"/>
              <w:right w:w="90" w:type="dxa"/>
            </w:tcMar>
          </w:tcPr>
          <w:p>
            <w:pPr>
              <w:spacing w:after="0"/>
            </w:pPr>
            <w:r>
              <w:rPr>
                <w:b/>
                <w:color w:val="FFFFFF"/>
                <w:sz w:val="15"/>
              </w:rPr>
              <w:t>Ch Vol</w:t>
            </w:r>
          </w:p>
        </w:tc>
      </w:tr>
      <w:tr>
        <w:tc>
          <w:tcPr>
            <w:tcW w:type="dxa" w:w="1136"/>
            <w:shd w:fill="FFFFFF"/>
            <w:tcMar>
              <w:top w:w="50" w:type="dxa"/>
              <w:bottom w:w="50" w:type="dxa"/>
              <w:left w:w="80" w:type="dxa"/>
              <w:right w:w="80" w:type="dxa"/>
            </w:tcMar>
          </w:tcPr>
          <w:p>
            <w:pPr>
              <w:spacing w:after="0"/>
            </w:pPr>
            <w:r>
              <w:rPr>
                <w:color w:val="212121"/>
                <w:sz w:val="15"/>
              </w:rPr>
              <w:t>1</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2015</w:t>
            </w:r>
          </w:p>
        </w:tc>
        <w:tc>
          <w:tcPr>
            <w:tcW w:type="dxa" w:w="1136"/>
            <w:shd w:fill="FFFFFF"/>
            <w:tcMar>
              <w:top w:w="50" w:type="dxa"/>
              <w:bottom w:w="50" w:type="dxa"/>
              <w:left w:w="80" w:type="dxa"/>
              <w:right w:w="80" w:type="dxa"/>
            </w:tcMar>
          </w:tcPr>
          <w:p>
            <w:pPr>
              <w:spacing w:after="0"/>
            </w:pPr>
            <w:r>
              <w:rPr>
                <w:color w:val="212121"/>
                <w:sz w:val="15"/>
              </w:rPr>
              <w:t>5.4%</w:t>
            </w:r>
          </w:p>
        </w:tc>
        <w:tc>
          <w:tcPr>
            <w:tcW w:type="dxa" w:w="1136"/>
            <w:shd w:fill="FFFFFF"/>
            <w:tcMar>
              <w:top w:w="50" w:type="dxa"/>
              <w:bottom w:w="50" w:type="dxa"/>
              <w:left w:w="80" w:type="dxa"/>
              <w:right w:w="80" w:type="dxa"/>
            </w:tcMar>
          </w:tcPr>
          <w:p>
            <w:pPr>
              <w:spacing w:after="0"/>
            </w:pPr>
            <w:r>
              <w:rPr>
                <w:color w:val="212121"/>
                <w:sz w:val="15"/>
              </w:rPr>
              <w:t>63,458.7</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3,426.8</w:t>
            </w:r>
          </w:p>
        </w:tc>
      </w:tr>
      <w:tr>
        <w:tc>
          <w:tcPr>
            <w:tcW w:type="dxa" w:w="1136"/>
            <w:shd w:fill="F7F9FC"/>
            <w:tcMar>
              <w:top w:w="50" w:type="dxa"/>
              <w:bottom w:w="50" w:type="dxa"/>
              <w:left w:w="80" w:type="dxa"/>
              <w:right w:w="80" w:type="dxa"/>
            </w:tcMar>
          </w:tcPr>
          <w:p>
            <w:pPr>
              <w:spacing w:after="0"/>
            </w:pPr>
            <w:r>
              <w:rPr>
                <w:color w:val="212121"/>
                <w:sz w:val="15"/>
              </w:rPr>
              <w:t>2</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2015</w:t>
            </w:r>
          </w:p>
        </w:tc>
        <w:tc>
          <w:tcPr>
            <w:tcW w:type="dxa" w:w="1136"/>
            <w:shd w:fill="F7F9FC"/>
            <w:tcMar>
              <w:top w:w="50" w:type="dxa"/>
              <w:bottom w:w="50" w:type="dxa"/>
              <w:left w:w="80" w:type="dxa"/>
              <w:right w:w="80" w:type="dxa"/>
            </w:tcMar>
          </w:tcPr>
          <w:p>
            <w:pPr>
              <w:spacing w:after="0"/>
            </w:pPr>
            <w:r>
              <w:rPr>
                <w:color w:val="212121"/>
                <w:sz w:val="15"/>
              </w:rPr>
              <w:t>31.6%</w:t>
            </w:r>
          </w:p>
        </w:tc>
        <w:tc>
          <w:tcPr>
            <w:tcW w:type="dxa" w:w="1136"/>
            <w:shd w:fill="F7F9FC"/>
            <w:tcMar>
              <w:top w:w="50" w:type="dxa"/>
              <w:bottom w:w="50" w:type="dxa"/>
              <w:left w:w="80" w:type="dxa"/>
              <w:right w:w="80" w:type="dxa"/>
            </w:tcMar>
          </w:tcPr>
          <w:p>
            <w:pPr>
              <w:spacing w:after="0"/>
            </w:pPr>
            <w:r>
              <w:rPr>
                <w:color w:val="212121"/>
                <w:sz w:val="15"/>
              </w:rPr>
              <w:t>63,458.7</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20,052.9</w:t>
            </w:r>
          </w:p>
        </w:tc>
      </w:tr>
      <w:tr>
        <w:tc>
          <w:tcPr>
            <w:tcW w:type="dxa" w:w="1136"/>
            <w:shd w:fill="FFFFFF"/>
            <w:tcMar>
              <w:top w:w="50" w:type="dxa"/>
              <w:bottom w:w="50" w:type="dxa"/>
              <w:left w:w="80" w:type="dxa"/>
              <w:right w:w="80" w:type="dxa"/>
            </w:tcMar>
          </w:tcPr>
          <w:p>
            <w:pPr>
              <w:spacing w:after="0"/>
            </w:pPr>
            <w:r>
              <w:rPr>
                <w:color w:val="212121"/>
                <w:sz w:val="15"/>
              </w:rPr>
              <w:t>3</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Hypermarkets</w:t>
            </w:r>
          </w:p>
        </w:tc>
        <w:tc>
          <w:tcPr>
            <w:tcW w:type="dxa" w:w="1136"/>
            <w:shd w:fill="FFFFFF"/>
            <w:tcMar>
              <w:top w:w="50" w:type="dxa"/>
              <w:bottom w:w="50" w:type="dxa"/>
              <w:left w:w="80" w:type="dxa"/>
              <w:right w:w="80" w:type="dxa"/>
            </w:tcMar>
          </w:tcPr>
          <w:p>
            <w:pPr>
              <w:spacing w:after="0"/>
            </w:pPr>
            <w:r>
              <w:rPr>
                <w:color w:val="212121"/>
                <w:sz w:val="15"/>
              </w:rPr>
              <w:t>2015</w:t>
            </w:r>
          </w:p>
        </w:tc>
        <w:tc>
          <w:tcPr>
            <w:tcW w:type="dxa" w:w="1136"/>
            <w:shd w:fill="FFFFFF"/>
            <w:tcMar>
              <w:top w:w="50" w:type="dxa"/>
              <w:bottom w:w="50" w:type="dxa"/>
              <w:left w:w="80" w:type="dxa"/>
              <w:right w:w="80" w:type="dxa"/>
            </w:tcMar>
          </w:tcPr>
          <w:p>
            <w:pPr>
              <w:spacing w:after="0"/>
            </w:pPr>
            <w:r>
              <w:rPr>
                <w:color w:val="212121"/>
                <w:sz w:val="15"/>
              </w:rPr>
              <w:t>42.5%</w:t>
            </w:r>
          </w:p>
        </w:tc>
        <w:tc>
          <w:tcPr>
            <w:tcW w:type="dxa" w:w="1136"/>
            <w:shd w:fill="FFFFFF"/>
            <w:tcMar>
              <w:top w:w="50" w:type="dxa"/>
              <w:bottom w:w="50" w:type="dxa"/>
              <w:left w:w="80" w:type="dxa"/>
              <w:right w:w="80" w:type="dxa"/>
            </w:tcMar>
          </w:tcPr>
          <w:p>
            <w:pPr>
              <w:spacing w:after="0"/>
            </w:pPr>
            <w:r>
              <w:rPr>
                <w:color w:val="212121"/>
                <w:sz w:val="15"/>
              </w:rPr>
              <w:t>63,458.7</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26,969.9</w:t>
            </w:r>
          </w:p>
        </w:tc>
      </w:tr>
      <w:tr>
        <w:tc>
          <w:tcPr>
            <w:tcW w:type="dxa" w:w="1136"/>
            <w:shd w:fill="F7F9FC"/>
            <w:tcMar>
              <w:top w:w="50" w:type="dxa"/>
              <w:bottom w:w="50" w:type="dxa"/>
              <w:left w:w="80" w:type="dxa"/>
              <w:right w:w="80" w:type="dxa"/>
            </w:tcMar>
          </w:tcPr>
          <w:p>
            <w:pPr>
              <w:spacing w:after="0"/>
            </w:pPr>
            <w:r>
              <w:rPr>
                <w:color w:val="212121"/>
                <w:sz w:val="15"/>
              </w:rPr>
              <w:t>4</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2015</w:t>
            </w:r>
          </w:p>
        </w:tc>
        <w:tc>
          <w:tcPr>
            <w:tcW w:type="dxa" w:w="1136"/>
            <w:shd w:fill="F7F9FC"/>
            <w:tcMar>
              <w:top w:w="50" w:type="dxa"/>
              <w:bottom w:w="50" w:type="dxa"/>
              <w:left w:w="80" w:type="dxa"/>
              <w:right w:w="80" w:type="dxa"/>
            </w:tcMar>
          </w:tcPr>
          <w:p>
            <w:pPr>
              <w:spacing w:after="0"/>
            </w:pPr>
            <w:r>
              <w:rPr>
                <w:color w:val="212121"/>
                <w:sz w:val="15"/>
              </w:rPr>
              <w:t>10.8%</w:t>
            </w:r>
          </w:p>
        </w:tc>
        <w:tc>
          <w:tcPr>
            <w:tcW w:type="dxa" w:w="1136"/>
            <w:shd w:fill="F7F9FC"/>
            <w:tcMar>
              <w:top w:w="50" w:type="dxa"/>
              <w:bottom w:w="50" w:type="dxa"/>
              <w:left w:w="80" w:type="dxa"/>
              <w:right w:w="80" w:type="dxa"/>
            </w:tcMar>
          </w:tcPr>
          <w:p>
            <w:pPr>
              <w:spacing w:after="0"/>
            </w:pPr>
            <w:r>
              <w:rPr>
                <w:color w:val="212121"/>
                <w:sz w:val="15"/>
              </w:rPr>
              <w:t>63,458.7</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6,853.5</w:t>
            </w:r>
          </w:p>
        </w:tc>
      </w:tr>
      <w:tr>
        <w:tc>
          <w:tcPr>
            <w:tcW w:type="dxa" w:w="1136"/>
            <w:shd w:fill="FFFFFF"/>
            <w:tcMar>
              <w:top w:w="50" w:type="dxa"/>
              <w:bottom w:w="50" w:type="dxa"/>
              <w:left w:w="80" w:type="dxa"/>
              <w:right w:w="80" w:type="dxa"/>
            </w:tcMar>
          </w:tcPr>
          <w:p>
            <w:pPr>
              <w:spacing w:after="0"/>
            </w:pPr>
            <w:r>
              <w:rPr>
                <w:color w:val="212121"/>
                <w:sz w:val="15"/>
              </w:rPr>
              <w:t>5</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5.5%</w:t>
            </w:r>
          </w:p>
        </w:tc>
        <w:tc>
          <w:tcPr>
            <w:tcW w:type="dxa" w:w="1136"/>
            <w:shd w:fill="FFFFFF"/>
            <w:tcMar>
              <w:top w:w="50" w:type="dxa"/>
              <w:bottom w:w="50" w:type="dxa"/>
              <w:left w:w="80" w:type="dxa"/>
              <w:right w:w="80" w:type="dxa"/>
            </w:tcMar>
          </w:tcPr>
          <w:p>
            <w:pPr>
              <w:spacing w:after="0"/>
            </w:pPr>
            <w:r>
              <w:rPr>
                <w:color w:val="212121"/>
                <w:sz w:val="15"/>
              </w:rPr>
              <w:t>67,782.7</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3,728.0</w:t>
            </w:r>
          </w:p>
        </w:tc>
      </w:tr>
      <w:tr>
        <w:tc>
          <w:tcPr>
            <w:tcW w:type="dxa" w:w="1136"/>
            <w:shd w:fill="F7F9FC"/>
            <w:tcMar>
              <w:top w:w="50" w:type="dxa"/>
              <w:bottom w:w="50" w:type="dxa"/>
              <w:left w:w="80" w:type="dxa"/>
              <w:right w:w="80" w:type="dxa"/>
            </w:tcMar>
          </w:tcPr>
          <w:p>
            <w:pPr>
              <w:spacing w:after="0"/>
            </w:pPr>
            <w:r>
              <w:rPr>
                <w:color w:val="212121"/>
                <w:sz w:val="15"/>
              </w:rPr>
              <w:t>6</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27.0%</w:t>
            </w:r>
          </w:p>
        </w:tc>
        <w:tc>
          <w:tcPr>
            <w:tcW w:type="dxa" w:w="1136"/>
            <w:shd w:fill="F7F9FC"/>
            <w:tcMar>
              <w:top w:w="50" w:type="dxa"/>
              <w:bottom w:w="50" w:type="dxa"/>
              <w:left w:w="80" w:type="dxa"/>
              <w:right w:w="80" w:type="dxa"/>
            </w:tcMar>
          </w:tcPr>
          <w:p>
            <w:pPr>
              <w:spacing w:after="0"/>
            </w:pPr>
            <w:r>
              <w:rPr>
                <w:color w:val="212121"/>
                <w:sz w:val="15"/>
              </w:rPr>
              <w:t>67,782.7</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18,301.3</w:t>
            </w:r>
          </w:p>
        </w:tc>
      </w:tr>
      <w:tr>
        <w:tc>
          <w:tcPr>
            <w:tcW w:type="dxa" w:w="1136"/>
            <w:shd w:fill="FFFFFF"/>
            <w:tcMar>
              <w:top w:w="50" w:type="dxa"/>
              <w:bottom w:w="50" w:type="dxa"/>
              <w:left w:w="80" w:type="dxa"/>
              <w:right w:w="80" w:type="dxa"/>
            </w:tcMar>
          </w:tcPr>
          <w:p>
            <w:pPr>
              <w:spacing w:after="0"/>
            </w:pPr>
            <w:r>
              <w:rPr>
                <w:color w:val="212121"/>
                <w:sz w:val="15"/>
              </w:rPr>
              <w:t>7</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Hypermarkets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33.9%</w:t>
            </w:r>
          </w:p>
        </w:tc>
        <w:tc>
          <w:tcPr>
            <w:tcW w:type="dxa" w:w="1136"/>
            <w:shd w:fill="FFFFFF"/>
            <w:tcMar>
              <w:top w:w="50" w:type="dxa"/>
              <w:bottom w:w="50" w:type="dxa"/>
              <w:left w:w="80" w:type="dxa"/>
              <w:right w:w="80" w:type="dxa"/>
            </w:tcMar>
          </w:tcPr>
          <w:p>
            <w:pPr>
              <w:spacing w:after="0"/>
            </w:pPr>
            <w:r>
              <w:rPr>
                <w:color w:val="212121"/>
                <w:sz w:val="15"/>
              </w:rPr>
              <w:t>67,782.7</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22,978.3</w:t>
            </w:r>
          </w:p>
        </w:tc>
      </w:tr>
      <w:tr>
        <w:tc>
          <w:tcPr>
            <w:tcW w:type="dxa" w:w="1136"/>
            <w:shd w:fill="F7F9FC"/>
            <w:tcMar>
              <w:top w:w="50" w:type="dxa"/>
              <w:bottom w:w="50" w:type="dxa"/>
              <w:left w:w="80" w:type="dxa"/>
              <w:right w:w="80" w:type="dxa"/>
            </w:tcMar>
          </w:tcPr>
          <w:p>
            <w:pPr>
              <w:spacing w:after="0"/>
            </w:pPr>
            <w:r>
              <w:rPr>
                <w:color w:val="212121"/>
                <w:sz w:val="15"/>
              </w:rPr>
              <w:t>8</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29.5%</w:t>
            </w:r>
          </w:p>
        </w:tc>
        <w:tc>
          <w:tcPr>
            <w:tcW w:type="dxa" w:w="1136"/>
            <w:shd w:fill="F7F9FC"/>
            <w:tcMar>
              <w:top w:w="50" w:type="dxa"/>
              <w:bottom w:w="50" w:type="dxa"/>
              <w:left w:w="80" w:type="dxa"/>
              <w:right w:w="80" w:type="dxa"/>
            </w:tcMar>
          </w:tcPr>
          <w:p>
            <w:pPr>
              <w:spacing w:after="0"/>
            </w:pPr>
            <w:r>
              <w:rPr>
                <w:color w:val="212121"/>
                <w:sz w:val="15"/>
              </w:rPr>
              <w:t>67,782.7</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19,995.9</w:t>
            </w:r>
          </w:p>
        </w:tc>
      </w:tr>
      <w:tr>
        <w:tc>
          <w:tcPr>
            <w:tcW w:type="dxa" w:w="1136"/>
            <w:shd w:fill="FFFFFF"/>
            <w:tcMar>
              <w:top w:w="50" w:type="dxa"/>
              <w:bottom w:w="50" w:type="dxa"/>
              <w:left w:w="80" w:type="dxa"/>
              <w:right w:w="80" w:type="dxa"/>
            </w:tcMar>
          </w:tcPr>
          <w:p>
            <w:pPr>
              <w:spacing w:after="0"/>
            </w:pPr>
            <w:r>
              <w:rPr>
                <w:color w:val="212121"/>
                <w:sz w:val="15"/>
              </w:rPr>
              <w:t>9</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5.5%</w:t>
            </w:r>
          </w:p>
        </w:tc>
        <w:tc>
          <w:tcPr>
            <w:tcW w:type="dxa" w:w="1136"/>
            <w:shd w:fill="FFFFFF"/>
            <w:tcMar>
              <w:top w:w="50" w:type="dxa"/>
              <w:bottom w:w="50" w:type="dxa"/>
              <w:left w:w="80" w:type="dxa"/>
              <w:right w:w="80" w:type="dxa"/>
            </w:tcMar>
          </w:tcPr>
          <w:p>
            <w:pPr>
              <w:spacing w:after="0"/>
            </w:pPr>
            <w:r>
              <w:rPr>
                <w:color w:val="212121"/>
                <w:sz w:val="15"/>
              </w:rPr>
              <w:t>61,314.5</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3,372.3</w:t>
            </w:r>
          </w:p>
        </w:tc>
      </w:tr>
      <w:tr>
        <w:tc>
          <w:tcPr>
            <w:tcW w:type="dxa" w:w="1136"/>
            <w:shd w:fill="F7F9FC"/>
            <w:tcMar>
              <w:top w:w="50" w:type="dxa"/>
              <w:bottom w:w="50" w:type="dxa"/>
              <w:left w:w="80" w:type="dxa"/>
              <w:right w:w="80" w:type="dxa"/>
            </w:tcMar>
          </w:tcPr>
          <w:p>
            <w:pPr>
              <w:spacing w:after="0"/>
            </w:pPr>
            <w:r>
              <w:rPr>
                <w:color w:val="212121"/>
                <w:sz w:val="15"/>
              </w:rPr>
              <w:t>10</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20.5%</w:t>
            </w:r>
          </w:p>
        </w:tc>
        <w:tc>
          <w:tcPr>
            <w:tcW w:type="dxa" w:w="1136"/>
            <w:shd w:fill="F7F9FC"/>
            <w:tcMar>
              <w:top w:w="50" w:type="dxa"/>
              <w:bottom w:w="50" w:type="dxa"/>
              <w:left w:w="80" w:type="dxa"/>
              <w:right w:w="80" w:type="dxa"/>
            </w:tcMar>
          </w:tcPr>
          <w:p>
            <w:pPr>
              <w:spacing w:after="0"/>
            </w:pPr>
            <w:r>
              <w:rPr>
                <w:color w:val="212121"/>
                <w:sz w:val="15"/>
              </w:rPr>
              <w:t>61,314.5</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12,569.5</w:t>
            </w:r>
          </w:p>
        </w:tc>
      </w:tr>
      <w:tr>
        <w:tc>
          <w:tcPr>
            <w:tcW w:type="dxa" w:w="1136"/>
            <w:shd w:fill="FFFFFF"/>
            <w:tcMar>
              <w:top w:w="50" w:type="dxa"/>
              <w:bottom w:w="50" w:type="dxa"/>
              <w:left w:w="80" w:type="dxa"/>
              <w:right w:w="80" w:type="dxa"/>
            </w:tcMar>
          </w:tcPr>
          <w:p>
            <w:pPr>
              <w:spacing w:after="0"/>
            </w:pPr>
            <w:r>
              <w:rPr>
                <w:color w:val="212121"/>
                <w:sz w:val="15"/>
              </w:rPr>
              <w:t>11</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Hypermarkets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24.1%</w:t>
            </w:r>
          </w:p>
        </w:tc>
        <w:tc>
          <w:tcPr>
            <w:tcW w:type="dxa" w:w="1136"/>
            <w:shd w:fill="FFFFFF"/>
            <w:tcMar>
              <w:top w:w="50" w:type="dxa"/>
              <w:bottom w:w="50" w:type="dxa"/>
              <w:left w:w="80" w:type="dxa"/>
              <w:right w:w="80" w:type="dxa"/>
            </w:tcMar>
          </w:tcPr>
          <w:p>
            <w:pPr>
              <w:spacing w:after="0"/>
            </w:pPr>
            <w:r>
              <w:rPr>
                <w:color w:val="212121"/>
                <w:sz w:val="15"/>
              </w:rPr>
              <w:t>61,314.5</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14,776.8</w:t>
            </w:r>
          </w:p>
        </w:tc>
      </w:tr>
      <w:tr>
        <w:tc>
          <w:tcPr>
            <w:tcW w:type="dxa" w:w="1136"/>
            <w:shd w:fill="F7F9FC"/>
            <w:tcMar>
              <w:top w:w="50" w:type="dxa"/>
              <w:bottom w:w="50" w:type="dxa"/>
              <w:left w:w="80" w:type="dxa"/>
              <w:right w:w="80" w:type="dxa"/>
            </w:tcMar>
          </w:tcPr>
          <w:p>
            <w:pPr>
              <w:spacing w:after="0"/>
            </w:pPr>
            <w:r>
              <w:rPr>
                <w:color w:val="212121"/>
                <w:sz w:val="15"/>
              </w:rPr>
              <w:t>12</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46.7%</w:t>
            </w:r>
          </w:p>
        </w:tc>
        <w:tc>
          <w:tcPr>
            <w:tcW w:type="dxa" w:w="1136"/>
            <w:shd w:fill="F7F9FC"/>
            <w:tcMar>
              <w:top w:w="50" w:type="dxa"/>
              <w:bottom w:w="50" w:type="dxa"/>
              <w:left w:w="80" w:type="dxa"/>
              <w:right w:w="80" w:type="dxa"/>
            </w:tcMar>
          </w:tcPr>
          <w:p>
            <w:pPr>
              <w:spacing w:after="0"/>
            </w:pPr>
            <w:r>
              <w:rPr>
                <w:color w:val="212121"/>
                <w:sz w:val="15"/>
              </w:rPr>
              <w:t>61,314.5</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28,633.9</w:t>
            </w:r>
          </w:p>
        </w:tc>
      </w:tr>
      <w:tr>
        <w:tc>
          <w:tcPr>
            <w:tcW w:type="dxa" w:w="1136"/>
            <w:shd w:fill="FFFFFF"/>
            <w:tcMar>
              <w:top w:w="50" w:type="dxa"/>
              <w:bottom w:w="50" w:type="dxa"/>
              <w:left w:w="80" w:type="dxa"/>
              <w:right w:w="80" w:type="dxa"/>
            </w:tcMar>
          </w:tcPr>
          <w:p>
            <w:pPr>
              <w:spacing w:after="0"/>
            </w:pPr>
            <w:r>
              <w:rPr>
                <w:color w:val="212121"/>
                <w:sz w:val="15"/>
              </w:rPr>
              <w:t>13</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2015</w:t>
            </w:r>
          </w:p>
        </w:tc>
        <w:tc>
          <w:tcPr>
            <w:tcW w:type="dxa" w:w="1136"/>
            <w:shd w:fill="FFFFFF"/>
            <w:tcMar>
              <w:top w:w="50" w:type="dxa"/>
              <w:bottom w:w="50" w:type="dxa"/>
              <w:left w:w="80" w:type="dxa"/>
              <w:right w:w="80" w:type="dxa"/>
            </w:tcMar>
          </w:tcPr>
          <w:p>
            <w:pPr>
              <w:spacing w:after="0"/>
            </w:pPr>
            <w:r>
              <w:rPr>
                <w:color w:val="212121"/>
                <w:sz w:val="15"/>
              </w:rPr>
              <w:t>6.5%</w:t>
            </w:r>
          </w:p>
        </w:tc>
        <w:tc>
          <w:tcPr>
            <w:tcW w:type="dxa" w:w="1136"/>
            <w:shd w:fill="FFFFFF"/>
            <w:tcMar>
              <w:top w:w="50" w:type="dxa"/>
              <w:bottom w:w="50" w:type="dxa"/>
              <w:left w:w="80" w:type="dxa"/>
              <w:right w:w="80" w:type="dxa"/>
            </w:tcMar>
          </w:tcPr>
          <w:p>
            <w:pPr>
              <w:spacing w:after="0"/>
            </w:pPr>
            <w:r>
              <w:rPr>
                <w:color w:val="212121"/>
                <w:sz w:val="15"/>
              </w:rPr>
              <w:t>292.4</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19.0</w:t>
            </w:r>
          </w:p>
        </w:tc>
      </w:tr>
      <w:tr>
        <w:tc>
          <w:tcPr>
            <w:tcW w:type="dxa" w:w="1136"/>
            <w:shd w:fill="F7F9FC"/>
            <w:tcMar>
              <w:top w:w="50" w:type="dxa"/>
              <w:bottom w:w="50" w:type="dxa"/>
              <w:left w:w="80" w:type="dxa"/>
              <w:right w:w="80" w:type="dxa"/>
            </w:tcMar>
          </w:tcPr>
          <w:p>
            <w:pPr>
              <w:spacing w:after="0"/>
            </w:pPr>
            <w:r>
              <w:rPr>
                <w:color w:val="212121"/>
                <w:sz w:val="15"/>
              </w:rPr>
              <w:t>14</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2015</w:t>
            </w:r>
          </w:p>
        </w:tc>
        <w:tc>
          <w:tcPr>
            <w:tcW w:type="dxa" w:w="1136"/>
            <w:shd w:fill="F7F9FC"/>
            <w:tcMar>
              <w:top w:w="50" w:type="dxa"/>
              <w:bottom w:w="50" w:type="dxa"/>
              <w:left w:w="80" w:type="dxa"/>
              <w:right w:w="80" w:type="dxa"/>
            </w:tcMar>
          </w:tcPr>
          <w:p>
            <w:pPr>
              <w:spacing w:after="0"/>
            </w:pPr>
            <w:r>
              <w:rPr>
                <w:color w:val="212121"/>
                <w:sz w:val="15"/>
              </w:rPr>
              <w:t>36.6%</w:t>
            </w:r>
          </w:p>
        </w:tc>
        <w:tc>
          <w:tcPr>
            <w:tcW w:type="dxa" w:w="1136"/>
            <w:shd w:fill="F7F9FC"/>
            <w:tcMar>
              <w:top w:w="50" w:type="dxa"/>
              <w:bottom w:w="50" w:type="dxa"/>
              <w:left w:w="80" w:type="dxa"/>
              <w:right w:w="80" w:type="dxa"/>
            </w:tcMar>
          </w:tcPr>
          <w:p>
            <w:pPr>
              <w:spacing w:after="0"/>
            </w:pPr>
            <w:r>
              <w:rPr>
                <w:color w:val="212121"/>
                <w:sz w:val="15"/>
              </w:rPr>
              <w:t>292.4</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107.0</w:t>
            </w:r>
          </w:p>
        </w:tc>
      </w:tr>
      <w:tr>
        <w:tc>
          <w:tcPr>
            <w:tcW w:type="dxa" w:w="1136"/>
            <w:shd w:fill="FFFFFF"/>
            <w:tcMar>
              <w:top w:w="50" w:type="dxa"/>
              <w:bottom w:w="50" w:type="dxa"/>
              <w:left w:w="80" w:type="dxa"/>
              <w:right w:w="80" w:type="dxa"/>
            </w:tcMar>
          </w:tcPr>
          <w:p>
            <w:pPr>
              <w:spacing w:after="0"/>
            </w:pPr>
            <w:r>
              <w:rPr>
                <w:color w:val="212121"/>
                <w:sz w:val="15"/>
              </w:rPr>
              <w:t>15</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2015</w:t>
            </w:r>
          </w:p>
        </w:tc>
        <w:tc>
          <w:tcPr>
            <w:tcW w:type="dxa" w:w="1136"/>
            <w:shd w:fill="FFFFFF"/>
            <w:tcMar>
              <w:top w:w="50" w:type="dxa"/>
              <w:bottom w:w="50" w:type="dxa"/>
              <w:left w:w="80" w:type="dxa"/>
              <w:right w:w="80" w:type="dxa"/>
            </w:tcMar>
          </w:tcPr>
          <w:p>
            <w:pPr>
              <w:spacing w:after="0"/>
            </w:pPr>
            <w:r>
              <w:rPr>
                <w:color w:val="212121"/>
                <w:sz w:val="15"/>
              </w:rPr>
              <w:t>1.9%</w:t>
            </w:r>
          </w:p>
        </w:tc>
        <w:tc>
          <w:tcPr>
            <w:tcW w:type="dxa" w:w="1136"/>
            <w:shd w:fill="FFFFFF"/>
            <w:tcMar>
              <w:top w:w="50" w:type="dxa"/>
              <w:bottom w:w="50" w:type="dxa"/>
              <w:left w:w="80" w:type="dxa"/>
              <w:right w:w="80" w:type="dxa"/>
            </w:tcMar>
          </w:tcPr>
          <w:p>
            <w:pPr>
              <w:spacing w:after="0"/>
            </w:pPr>
            <w:r>
              <w:rPr>
                <w:color w:val="212121"/>
                <w:sz w:val="15"/>
              </w:rPr>
              <w:t>292.4</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5.6</w:t>
            </w:r>
          </w:p>
        </w:tc>
      </w:tr>
      <w:tr>
        <w:tc>
          <w:tcPr>
            <w:tcW w:type="dxa" w:w="1136"/>
            <w:shd w:fill="F7F9FC"/>
            <w:tcMar>
              <w:top w:w="50" w:type="dxa"/>
              <w:bottom w:w="50" w:type="dxa"/>
              <w:left w:w="80" w:type="dxa"/>
              <w:right w:w="80" w:type="dxa"/>
            </w:tcMar>
          </w:tcPr>
          <w:p>
            <w:pPr>
              <w:spacing w:after="0"/>
            </w:pPr>
            <w:r>
              <w:rPr>
                <w:color w:val="212121"/>
                <w:sz w:val="15"/>
              </w:rPr>
              <w:t>16</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Convenience Stores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14.5%</w:t>
            </w:r>
          </w:p>
        </w:tc>
        <w:tc>
          <w:tcPr>
            <w:tcW w:type="dxa" w:w="1136"/>
            <w:shd w:fill="F7F9FC"/>
            <w:tcMar>
              <w:top w:w="50" w:type="dxa"/>
              <w:bottom w:w="50" w:type="dxa"/>
              <w:left w:w="80" w:type="dxa"/>
              <w:right w:w="80" w:type="dxa"/>
            </w:tcMar>
          </w:tcPr>
          <w:p>
            <w:pPr>
              <w:spacing w:after="0"/>
            </w:pPr>
            <w:r>
              <w:rPr>
                <w:color w:val="212121"/>
                <w:sz w:val="15"/>
              </w:rPr>
              <w:t>268.5</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38.9</w:t>
            </w:r>
          </w:p>
        </w:tc>
      </w:tr>
      <w:tr>
        <w:tc>
          <w:tcPr>
            <w:tcW w:type="dxa" w:w="1136"/>
            <w:shd w:fill="FFFFFF"/>
            <w:tcMar>
              <w:top w:w="50" w:type="dxa"/>
              <w:bottom w:w="50" w:type="dxa"/>
              <w:left w:w="80" w:type="dxa"/>
              <w:right w:w="80" w:type="dxa"/>
            </w:tcMar>
          </w:tcPr>
          <w:p>
            <w:pPr>
              <w:spacing w:after="0"/>
            </w:pPr>
            <w:r>
              <w:rPr>
                <w:color w:val="212121"/>
                <w:sz w:val="15"/>
              </w:rPr>
              <w:t>17</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19.1%</w:t>
            </w:r>
          </w:p>
        </w:tc>
        <w:tc>
          <w:tcPr>
            <w:tcW w:type="dxa" w:w="1136"/>
            <w:shd w:fill="FFFFFF"/>
            <w:tcMar>
              <w:top w:w="50" w:type="dxa"/>
              <w:bottom w:w="50" w:type="dxa"/>
              <w:left w:w="80" w:type="dxa"/>
              <w:right w:w="80" w:type="dxa"/>
            </w:tcMar>
          </w:tcPr>
          <w:p>
            <w:pPr>
              <w:spacing w:after="0"/>
            </w:pPr>
            <w:r>
              <w:rPr>
                <w:color w:val="212121"/>
                <w:sz w:val="15"/>
              </w:rPr>
              <w:t>268.5</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51.3</w:t>
            </w:r>
          </w:p>
        </w:tc>
      </w:tr>
      <w:tr>
        <w:tc>
          <w:tcPr>
            <w:tcW w:type="dxa" w:w="1136"/>
            <w:shd w:fill="F7F9FC"/>
            <w:tcMar>
              <w:top w:w="50" w:type="dxa"/>
              <w:bottom w:w="50" w:type="dxa"/>
              <w:left w:w="80" w:type="dxa"/>
              <w:right w:w="80" w:type="dxa"/>
            </w:tcMar>
          </w:tcPr>
          <w:p>
            <w:pPr>
              <w:spacing w:after="0"/>
            </w:pPr>
            <w:r>
              <w:rPr>
                <w:color w:val="212121"/>
                <w:sz w:val="15"/>
              </w:rPr>
              <w:t>18</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3.6%</w:t>
            </w:r>
          </w:p>
        </w:tc>
        <w:tc>
          <w:tcPr>
            <w:tcW w:type="dxa" w:w="1136"/>
            <w:shd w:fill="F7F9FC"/>
            <w:tcMar>
              <w:top w:w="50" w:type="dxa"/>
              <w:bottom w:w="50" w:type="dxa"/>
              <w:left w:w="80" w:type="dxa"/>
              <w:right w:w="80" w:type="dxa"/>
            </w:tcMar>
          </w:tcPr>
          <w:p>
            <w:pPr>
              <w:spacing w:after="0"/>
            </w:pPr>
            <w:r>
              <w:rPr>
                <w:color w:val="212121"/>
                <w:sz w:val="15"/>
              </w:rPr>
              <w:t>268.5</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9.7</w:t>
            </w:r>
          </w:p>
        </w:tc>
      </w:tr>
      <w:tr>
        <w:tc>
          <w:tcPr>
            <w:tcW w:type="dxa" w:w="1136"/>
            <w:shd w:fill="FFFFFF"/>
            <w:tcMar>
              <w:top w:w="50" w:type="dxa"/>
              <w:bottom w:w="50" w:type="dxa"/>
              <w:left w:w="80" w:type="dxa"/>
              <w:right w:w="80" w:type="dxa"/>
            </w:tcMar>
          </w:tcPr>
          <w:p>
            <w:pPr>
              <w:spacing w:after="0"/>
            </w:pPr>
            <w:r>
              <w:rPr>
                <w:color w:val="212121"/>
                <w:sz w:val="15"/>
              </w:rPr>
              <w:t>19</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16.7%</w:t>
            </w:r>
          </w:p>
        </w:tc>
        <w:tc>
          <w:tcPr>
            <w:tcW w:type="dxa" w:w="1136"/>
            <w:shd w:fill="FFFFFF"/>
            <w:tcMar>
              <w:top w:w="50" w:type="dxa"/>
              <w:bottom w:w="50" w:type="dxa"/>
              <w:left w:w="80" w:type="dxa"/>
              <w:right w:w="80" w:type="dxa"/>
            </w:tcMar>
          </w:tcPr>
          <w:p>
            <w:pPr>
              <w:spacing w:after="0"/>
            </w:pPr>
            <w:r>
              <w:rPr>
                <w:color w:val="212121"/>
                <w:sz w:val="15"/>
              </w:rPr>
              <w:t>301.3</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50.3</w:t>
            </w:r>
          </w:p>
        </w:tc>
      </w:tr>
      <w:tr>
        <w:tc>
          <w:tcPr>
            <w:tcW w:type="dxa" w:w="1136"/>
            <w:shd w:fill="F7F9FC"/>
            <w:tcMar>
              <w:top w:w="50" w:type="dxa"/>
              <w:bottom w:w="50" w:type="dxa"/>
              <w:left w:w="80" w:type="dxa"/>
              <w:right w:w="80" w:type="dxa"/>
            </w:tcMar>
          </w:tcPr>
          <w:p>
            <w:pPr>
              <w:spacing w:after="0"/>
            </w:pPr>
            <w:r>
              <w:rPr>
                <w:color w:val="212121"/>
                <w:sz w:val="15"/>
              </w:rPr>
              <w:t>20</w:t>
            </w:r>
          </w:p>
        </w:tc>
        <w:tc>
          <w:tcPr>
            <w:tcW w:type="dxa" w:w="1136"/>
            <w:shd w:fill="F7F9FC"/>
            <w:tcMar>
              <w:top w:w="50" w:type="dxa"/>
              <w:bottom w:w="50" w:type="dxa"/>
              <w:left w:w="80" w:type="dxa"/>
              <w:right w:w="80" w:type="dxa"/>
            </w:tcMar>
          </w:tcPr>
          <w:p>
            <w:pPr>
              <w:spacing w:after="0"/>
            </w:pPr>
            <w:r>
              <w:rPr>
                <w:color w:val="212121"/>
                <w:sz w:val="15"/>
              </w:rPr>
              <w:t>China</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18.9%</w:t>
            </w:r>
          </w:p>
        </w:tc>
        <w:tc>
          <w:tcPr>
            <w:tcW w:type="dxa" w:w="1136"/>
            <w:shd w:fill="F7F9FC"/>
            <w:tcMar>
              <w:top w:w="50" w:type="dxa"/>
              <w:bottom w:w="50" w:type="dxa"/>
              <w:left w:w="80" w:type="dxa"/>
              <w:right w:w="80" w:type="dxa"/>
            </w:tcMar>
          </w:tcPr>
          <w:p>
            <w:pPr>
              <w:spacing w:after="0"/>
            </w:pPr>
            <w:r>
              <w:rPr>
                <w:color w:val="212121"/>
                <w:sz w:val="15"/>
              </w:rPr>
              <w:t>301.3</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56.9</w:t>
            </w:r>
          </w:p>
        </w:tc>
      </w:tr>
      <w:tr>
        <w:tc>
          <w:tcPr>
            <w:tcW w:type="dxa" w:w="1136"/>
            <w:shd w:fill="FFFFFF"/>
            <w:tcMar>
              <w:top w:w="50" w:type="dxa"/>
              <w:bottom w:w="50" w:type="dxa"/>
              <w:left w:w="80" w:type="dxa"/>
              <w:right w:w="80" w:type="dxa"/>
            </w:tcMar>
          </w:tcPr>
          <w:p>
            <w:pPr>
              <w:spacing w:after="0"/>
            </w:pPr>
            <w:r>
              <w:rPr>
                <w:color w:val="212121"/>
                <w:sz w:val="15"/>
              </w:rPr>
              <w:t>21</w:t>
            </w:r>
          </w:p>
        </w:tc>
        <w:tc>
          <w:tcPr>
            <w:tcW w:type="dxa" w:w="1136"/>
            <w:shd w:fill="FFFFFF"/>
            <w:tcMar>
              <w:top w:w="50" w:type="dxa"/>
              <w:bottom w:w="50" w:type="dxa"/>
              <w:left w:w="80" w:type="dxa"/>
              <w:right w:w="80" w:type="dxa"/>
            </w:tcMar>
          </w:tcPr>
          <w:p>
            <w:pPr>
              <w:spacing w:after="0"/>
            </w:pPr>
            <w:r>
              <w:rPr>
                <w:color w:val="212121"/>
                <w:sz w:val="15"/>
              </w:rPr>
              <w:t>China</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6.4%</w:t>
            </w:r>
          </w:p>
        </w:tc>
        <w:tc>
          <w:tcPr>
            <w:tcW w:type="dxa" w:w="1136"/>
            <w:shd w:fill="FFFFFF"/>
            <w:tcMar>
              <w:top w:w="50" w:type="dxa"/>
              <w:bottom w:w="50" w:type="dxa"/>
              <w:left w:w="80" w:type="dxa"/>
              <w:right w:w="80" w:type="dxa"/>
            </w:tcMar>
          </w:tcPr>
          <w:p>
            <w:pPr>
              <w:spacing w:after="0"/>
            </w:pPr>
            <w:r>
              <w:rPr>
                <w:color w:val="212121"/>
                <w:sz w:val="15"/>
              </w:rPr>
              <w:t>301.3</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19.3</w:t>
            </w:r>
          </w:p>
        </w:tc>
      </w:tr>
      <w:tr>
        <w:tc>
          <w:tcPr>
            <w:tcW w:type="dxa" w:w="1136"/>
            <w:shd w:fill="F7F9FC"/>
            <w:tcMar>
              <w:top w:w="50" w:type="dxa"/>
              <w:bottom w:w="50" w:type="dxa"/>
              <w:left w:w="80" w:type="dxa"/>
              <w:right w:w="80" w:type="dxa"/>
            </w:tcMar>
          </w:tcPr>
          <w:p>
            <w:pPr>
              <w:spacing w:after="0"/>
            </w:pPr>
            <w:r>
              <w:rPr>
                <w:color w:val="212121"/>
                <w:sz w:val="15"/>
              </w:rPr>
              <w:t>22</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Convenience Stores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3.2%</w:t>
            </w:r>
          </w:p>
        </w:tc>
        <w:tc>
          <w:tcPr>
            <w:tcW w:type="dxa" w:w="1136"/>
            <w:shd w:fill="F7F9FC"/>
            <w:tcMar>
              <w:top w:w="50" w:type="dxa"/>
              <w:bottom w:w="50" w:type="dxa"/>
              <w:left w:w="80" w:type="dxa"/>
              <w:right w:w="80" w:type="dxa"/>
            </w:tcMar>
          </w:tcPr>
          <w:p>
            <w:pPr>
              <w:spacing w:after="0"/>
            </w:pPr>
            <w:r>
              <w:rPr>
                <w:color w:val="212121"/>
                <w:sz w:val="15"/>
              </w:rPr>
              <w:t>119,096.3</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3,811.1</w:t>
            </w:r>
          </w:p>
        </w:tc>
      </w:tr>
      <w:tr>
        <w:tc>
          <w:tcPr>
            <w:tcW w:type="dxa" w:w="1136"/>
            <w:shd w:fill="FFFFFF"/>
            <w:tcMar>
              <w:top w:w="50" w:type="dxa"/>
              <w:bottom w:w="50" w:type="dxa"/>
              <w:left w:w="80" w:type="dxa"/>
              <w:right w:w="80" w:type="dxa"/>
            </w:tcMar>
          </w:tcPr>
          <w:p>
            <w:pPr>
              <w:spacing w:after="0"/>
            </w:pPr>
            <w:r>
              <w:rPr>
                <w:color w:val="212121"/>
                <w:sz w:val="15"/>
              </w:rPr>
              <w:t>23</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47.7%</w:t>
            </w:r>
          </w:p>
        </w:tc>
        <w:tc>
          <w:tcPr>
            <w:tcW w:type="dxa" w:w="1136"/>
            <w:shd w:fill="FFFFFF"/>
            <w:tcMar>
              <w:top w:w="50" w:type="dxa"/>
              <w:bottom w:w="50" w:type="dxa"/>
              <w:left w:w="80" w:type="dxa"/>
              <w:right w:w="80" w:type="dxa"/>
            </w:tcMar>
          </w:tcPr>
          <w:p>
            <w:pPr>
              <w:spacing w:after="0"/>
            </w:pPr>
            <w:r>
              <w:rPr>
                <w:color w:val="212121"/>
                <w:sz w:val="15"/>
              </w:rPr>
              <w:t>119,096.3</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56,808.9</w:t>
            </w:r>
          </w:p>
        </w:tc>
      </w:tr>
      <w:tr>
        <w:tc>
          <w:tcPr>
            <w:tcW w:type="dxa" w:w="1136"/>
            <w:shd w:fill="F7F9FC"/>
            <w:tcMar>
              <w:top w:w="50" w:type="dxa"/>
              <w:bottom w:w="50" w:type="dxa"/>
              <w:left w:w="80" w:type="dxa"/>
              <w:right w:w="80" w:type="dxa"/>
            </w:tcMar>
          </w:tcPr>
          <w:p>
            <w:pPr>
              <w:spacing w:after="0"/>
            </w:pPr>
            <w:r>
              <w:rPr>
                <w:color w:val="212121"/>
                <w:sz w:val="15"/>
              </w:rPr>
              <w:t>24</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9.6%</w:t>
            </w:r>
          </w:p>
        </w:tc>
        <w:tc>
          <w:tcPr>
            <w:tcW w:type="dxa" w:w="1136"/>
            <w:shd w:fill="F7F9FC"/>
            <w:tcMar>
              <w:top w:w="50" w:type="dxa"/>
              <w:bottom w:w="50" w:type="dxa"/>
              <w:left w:w="80" w:type="dxa"/>
              <w:right w:w="80" w:type="dxa"/>
            </w:tcMar>
          </w:tcPr>
          <w:p>
            <w:pPr>
              <w:spacing w:after="0"/>
            </w:pPr>
            <w:r>
              <w:rPr>
                <w:color w:val="212121"/>
                <w:sz w:val="15"/>
              </w:rPr>
              <w:t>119,096.3</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11,433.2</w:t>
            </w:r>
          </w:p>
        </w:tc>
      </w:tr>
      <w:tr>
        <w:tc>
          <w:tcPr>
            <w:tcW w:type="dxa" w:w="1136"/>
            <w:shd w:fill="FFFFFF"/>
            <w:tcMar>
              <w:top w:w="50" w:type="dxa"/>
              <w:bottom w:w="50" w:type="dxa"/>
              <w:left w:w="80" w:type="dxa"/>
              <w:right w:w="80" w:type="dxa"/>
            </w:tcMar>
          </w:tcPr>
          <w:p>
            <w:pPr>
              <w:spacing w:after="0"/>
            </w:pPr>
            <w:r>
              <w:rPr>
                <w:color w:val="212121"/>
                <w:sz w:val="15"/>
              </w:rPr>
              <w:t>25</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21.4%</w:t>
            </w:r>
          </w:p>
        </w:tc>
        <w:tc>
          <w:tcPr>
            <w:tcW w:type="dxa" w:w="1136"/>
            <w:shd w:fill="FFFFFF"/>
            <w:tcMar>
              <w:top w:w="50" w:type="dxa"/>
              <w:bottom w:w="50" w:type="dxa"/>
              <w:left w:w="80" w:type="dxa"/>
              <w:right w:w="80" w:type="dxa"/>
            </w:tcMar>
          </w:tcPr>
          <w:p>
            <w:pPr>
              <w:spacing w:after="0"/>
            </w:pPr>
            <w:r>
              <w:rPr>
                <w:color w:val="212121"/>
                <w:sz w:val="15"/>
              </w:rPr>
              <w:t>3,011.8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644.5</w:t>
            </w:r>
          </w:p>
        </w:tc>
      </w:tr>
      <w:tr>
        <w:tc>
          <w:tcPr>
            <w:tcW w:type="dxa" w:w="1136"/>
            <w:shd w:fill="F7F9FC"/>
            <w:tcMar>
              <w:top w:w="50" w:type="dxa"/>
              <w:bottom w:w="50" w:type="dxa"/>
              <w:left w:w="80" w:type="dxa"/>
              <w:right w:w="80" w:type="dxa"/>
            </w:tcMar>
          </w:tcPr>
          <w:p>
            <w:pPr>
              <w:spacing w:after="0"/>
            </w:pPr>
            <w:r>
              <w:rPr>
                <w:color w:val="212121"/>
                <w:sz w:val="15"/>
              </w:rPr>
              <w:t>26</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24.5%</w:t>
            </w:r>
          </w:p>
        </w:tc>
        <w:tc>
          <w:tcPr>
            <w:tcW w:type="dxa" w:w="1136"/>
            <w:shd w:fill="F7F9FC"/>
            <w:tcMar>
              <w:top w:w="50" w:type="dxa"/>
              <w:bottom w:w="50" w:type="dxa"/>
              <w:left w:w="80" w:type="dxa"/>
              <w:right w:w="80" w:type="dxa"/>
            </w:tcMar>
          </w:tcPr>
          <w:p>
            <w:pPr>
              <w:spacing w:after="0"/>
            </w:pPr>
            <w:r>
              <w:rPr>
                <w:color w:val="212121"/>
                <w:sz w:val="15"/>
              </w:rPr>
              <w:t>3,011.8</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737.9</w:t>
            </w:r>
          </w:p>
        </w:tc>
      </w:tr>
      <w:tr>
        <w:tc>
          <w:tcPr>
            <w:tcW w:type="dxa" w:w="1136"/>
            <w:shd w:fill="FFFFFF"/>
            <w:tcMar>
              <w:top w:w="50" w:type="dxa"/>
              <w:bottom w:w="50" w:type="dxa"/>
              <w:left w:w="80" w:type="dxa"/>
              <w:right w:w="80" w:type="dxa"/>
            </w:tcMar>
          </w:tcPr>
          <w:p>
            <w:pPr>
              <w:spacing w:after="0"/>
            </w:pPr>
            <w:r>
              <w:rPr>
                <w:color w:val="212121"/>
                <w:sz w:val="15"/>
              </w:rPr>
              <w:t>27</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0.6%</w:t>
            </w:r>
          </w:p>
        </w:tc>
        <w:tc>
          <w:tcPr>
            <w:tcW w:type="dxa" w:w="1136"/>
            <w:shd w:fill="FFFFFF"/>
            <w:tcMar>
              <w:top w:w="50" w:type="dxa"/>
              <w:bottom w:w="50" w:type="dxa"/>
              <w:left w:w="80" w:type="dxa"/>
              <w:right w:w="80" w:type="dxa"/>
            </w:tcMar>
          </w:tcPr>
          <w:p>
            <w:pPr>
              <w:spacing w:after="0"/>
            </w:pPr>
            <w:r>
              <w:rPr>
                <w:color w:val="212121"/>
                <w:sz w:val="15"/>
              </w:rPr>
              <w:t>3,011.8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18.1</w:t>
            </w:r>
          </w:p>
        </w:tc>
      </w:tr>
      <w:tr>
        <w:tc>
          <w:tcPr>
            <w:tcW w:type="dxa" w:w="1136"/>
            <w:shd w:fill="F7F9FC"/>
            <w:tcMar>
              <w:top w:w="50" w:type="dxa"/>
              <w:bottom w:w="50" w:type="dxa"/>
              <w:left w:w="80" w:type="dxa"/>
              <w:right w:w="80" w:type="dxa"/>
            </w:tcMar>
          </w:tcPr>
          <w:p>
            <w:pPr>
              <w:spacing w:after="0"/>
            </w:pPr>
            <w:r>
              <w:rPr>
                <w:color w:val="212121"/>
                <w:sz w:val="15"/>
              </w:rPr>
              <w:t>28</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Convenience Stores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2.8%</w:t>
            </w:r>
          </w:p>
        </w:tc>
        <w:tc>
          <w:tcPr>
            <w:tcW w:type="dxa" w:w="1136"/>
            <w:shd w:fill="F7F9FC"/>
            <w:tcMar>
              <w:top w:w="50" w:type="dxa"/>
              <w:bottom w:w="50" w:type="dxa"/>
              <w:left w:w="80" w:type="dxa"/>
              <w:right w:w="80" w:type="dxa"/>
            </w:tcMar>
          </w:tcPr>
          <w:p>
            <w:pPr>
              <w:spacing w:after="0"/>
            </w:pPr>
            <w:r>
              <w:rPr>
                <w:color w:val="212121"/>
                <w:sz w:val="15"/>
              </w:rPr>
              <w:t>97,775.2</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2,737.7</w:t>
            </w:r>
          </w:p>
        </w:tc>
      </w:tr>
      <w:tr>
        <w:tc>
          <w:tcPr>
            <w:tcW w:type="dxa" w:w="1136"/>
            <w:shd w:fill="FFFFFF"/>
            <w:tcMar>
              <w:top w:w="50" w:type="dxa"/>
              <w:bottom w:w="50" w:type="dxa"/>
              <w:left w:w="80" w:type="dxa"/>
              <w:right w:w="80" w:type="dxa"/>
            </w:tcMar>
          </w:tcPr>
          <w:p>
            <w:pPr>
              <w:spacing w:after="0"/>
            </w:pPr>
            <w:r>
              <w:rPr>
                <w:color w:val="212121"/>
                <w:sz w:val="15"/>
              </w:rPr>
              <w:t>29</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46.4%</w:t>
            </w:r>
          </w:p>
        </w:tc>
        <w:tc>
          <w:tcPr>
            <w:tcW w:type="dxa" w:w="1136"/>
            <w:shd w:fill="FFFFFF"/>
            <w:tcMar>
              <w:top w:w="50" w:type="dxa"/>
              <w:bottom w:w="50" w:type="dxa"/>
              <w:left w:w="80" w:type="dxa"/>
              <w:right w:w="80" w:type="dxa"/>
            </w:tcMar>
          </w:tcPr>
          <w:p>
            <w:pPr>
              <w:spacing w:after="0"/>
            </w:pPr>
            <w:r>
              <w:rPr>
                <w:color w:val="212121"/>
                <w:sz w:val="15"/>
              </w:rPr>
              <w:t>97,775.2</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45,367.7</w:t>
            </w:r>
          </w:p>
        </w:tc>
      </w:tr>
      <w:tr>
        <w:tc>
          <w:tcPr>
            <w:tcW w:type="dxa" w:w="1136"/>
            <w:shd w:fill="F7F9FC"/>
            <w:tcMar>
              <w:top w:w="50" w:type="dxa"/>
              <w:bottom w:w="50" w:type="dxa"/>
              <w:left w:w="80" w:type="dxa"/>
              <w:right w:w="80" w:type="dxa"/>
            </w:tcMar>
          </w:tcPr>
          <w:p>
            <w:pPr>
              <w:spacing w:after="0"/>
            </w:pPr>
            <w:r>
              <w:rPr>
                <w:color w:val="212121"/>
                <w:sz w:val="15"/>
              </w:rPr>
              <w:t>30</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12.4%</w:t>
            </w:r>
          </w:p>
        </w:tc>
        <w:tc>
          <w:tcPr>
            <w:tcW w:type="dxa" w:w="1136"/>
            <w:shd w:fill="F7F9FC"/>
            <w:tcMar>
              <w:top w:w="50" w:type="dxa"/>
              <w:bottom w:w="50" w:type="dxa"/>
              <w:left w:w="80" w:type="dxa"/>
              <w:right w:w="80" w:type="dxa"/>
            </w:tcMar>
          </w:tcPr>
          <w:p>
            <w:pPr>
              <w:spacing w:after="0"/>
            </w:pPr>
            <w:r>
              <w:rPr>
                <w:color w:val="212121"/>
                <w:sz w:val="15"/>
              </w:rPr>
              <w:t>97,775.2</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12,124.1</w:t>
            </w:r>
          </w:p>
        </w:tc>
      </w:tr>
      <w:tr>
        <w:tc>
          <w:tcPr>
            <w:tcW w:type="dxa" w:w="1136"/>
            <w:shd w:fill="FFFFFF"/>
            <w:tcMar>
              <w:top w:w="50" w:type="dxa"/>
              <w:bottom w:w="50" w:type="dxa"/>
              <w:left w:w="80" w:type="dxa"/>
              <w:right w:w="80" w:type="dxa"/>
            </w:tcMar>
          </w:tcPr>
          <w:p>
            <w:pPr>
              <w:spacing w:after="0"/>
            </w:pPr>
            <w:r>
              <w:rPr>
                <w:color w:val="212121"/>
                <w:sz w:val="15"/>
              </w:rPr>
              <w:t>31</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21.8%</w:t>
            </w:r>
          </w:p>
        </w:tc>
        <w:tc>
          <w:tcPr>
            <w:tcW w:type="dxa" w:w="1136"/>
            <w:shd w:fill="FFFFFF"/>
            <w:tcMar>
              <w:top w:w="50" w:type="dxa"/>
              <w:bottom w:w="50" w:type="dxa"/>
              <w:left w:w="80" w:type="dxa"/>
              <w:right w:w="80" w:type="dxa"/>
            </w:tcMar>
          </w:tcPr>
          <w:p>
            <w:pPr>
              <w:spacing w:after="0"/>
            </w:pPr>
            <w:r>
              <w:rPr>
                <w:color w:val="212121"/>
                <w:sz w:val="15"/>
              </w:rPr>
              <w:t>2,846.4</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620.5</w:t>
            </w:r>
          </w:p>
        </w:tc>
      </w:tr>
      <w:tr>
        <w:tc>
          <w:tcPr>
            <w:tcW w:type="dxa" w:w="1136"/>
            <w:shd w:fill="F7F9FC"/>
            <w:tcMar>
              <w:top w:w="50" w:type="dxa"/>
              <w:bottom w:w="50" w:type="dxa"/>
              <w:left w:w="80" w:type="dxa"/>
              <w:right w:w="80" w:type="dxa"/>
            </w:tcMar>
          </w:tcPr>
          <w:p>
            <w:pPr>
              <w:spacing w:after="0"/>
            </w:pPr>
            <w:r>
              <w:rPr>
                <w:color w:val="212121"/>
                <w:sz w:val="15"/>
              </w:rPr>
              <w:t>32</w:t>
            </w:r>
          </w:p>
        </w:tc>
        <w:tc>
          <w:tcPr>
            <w:tcW w:type="dxa" w:w="1136"/>
            <w:shd w:fill="F7F9FC"/>
            <w:tcMar>
              <w:top w:w="50" w:type="dxa"/>
              <w:bottom w:w="50" w:type="dxa"/>
              <w:left w:w="80" w:type="dxa"/>
              <w:right w:w="80" w:type="dxa"/>
            </w:tcMar>
          </w:tcPr>
          <w:p>
            <w:pPr>
              <w:spacing w:after="0"/>
            </w:pPr>
            <w:r>
              <w:rPr>
                <w:color w:val="212121"/>
                <w:sz w:val="15"/>
              </w:rPr>
              <w:t>Japan</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23.2%</w:t>
            </w:r>
          </w:p>
        </w:tc>
        <w:tc>
          <w:tcPr>
            <w:tcW w:type="dxa" w:w="1136"/>
            <w:shd w:fill="F7F9FC"/>
            <w:tcMar>
              <w:top w:w="50" w:type="dxa"/>
              <w:bottom w:w="50" w:type="dxa"/>
              <w:left w:w="80" w:type="dxa"/>
              <w:right w:w="80" w:type="dxa"/>
            </w:tcMar>
          </w:tcPr>
          <w:p>
            <w:pPr>
              <w:spacing w:after="0"/>
            </w:pPr>
            <w:r>
              <w:rPr>
                <w:color w:val="212121"/>
                <w:sz w:val="15"/>
              </w:rPr>
              <w:t>2,846.4</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660.4</w:t>
            </w:r>
          </w:p>
        </w:tc>
      </w:tr>
      <w:tr>
        <w:tc>
          <w:tcPr>
            <w:tcW w:type="dxa" w:w="1136"/>
            <w:shd w:fill="FFFFFF"/>
            <w:tcMar>
              <w:top w:w="50" w:type="dxa"/>
              <w:bottom w:w="50" w:type="dxa"/>
              <w:left w:w="80" w:type="dxa"/>
              <w:right w:w="80" w:type="dxa"/>
            </w:tcMar>
          </w:tcPr>
          <w:p>
            <w:pPr>
              <w:spacing w:after="0"/>
            </w:pPr>
            <w:r>
              <w:rPr>
                <w:color w:val="212121"/>
                <w:sz w:val="15"/>
              </w:rPr>
              <w:t>33</w:t>
            </w:r>
          </w:p>
        </w:tc>
        <w:tc>
          <w:tcPr>
            <w:tcW w:type="dxa" w:w="1136"/>
            <w:shd w:fill="FFFFFF"/>
            <w:tcMar>
              <w:top w:w="50" w:type="dxa"/>
              <w:bottom w:w="50" w:type="dxa"/>
              <w:left w:w="80" w:type="dxa"/>
              <w:right w:w="80" w:type="dxa"/>
            </w:tcMar>
          </w:tcPr>
          <w:p>
            <w:pPr>
              <w:spacing w:after="0"/>
            </w:pPr>
            <w:r>
              <w:rPr>
                <w:color w:val="212121"/>
                <w:sz w:val="15"/>
              </w:rPr>
              <w:t>Japan</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1.2%</w:t>
            </w:r>
          </w:p>
        </w:tc>
        <w:tc>
          <w:tcPr>
            <w:tcW w:type="dxa" w:w="1136"/>
            <w:shd w:fill="FFFFFF"/>
            <w:tcMar>
              <w:top w:w="50" w:type="dxa"/>
              <w:bottom w:w="50" w:type="dxa"/>
              <w:left w:w="80" w:type="dxa"/>
              <w:right w:w="80" w:type="dxa"/>
            </w:tcMar>
          </w:tcPr>
          <w:p>
            <w:pPr>
              <w:spacing w:after="0"/>
            </w:pPr>
            <w:r>
              <w:rPr>
                <w:color w:val="212121"/>
                <w:sz w:val="15"/>
              </w:rPr>
              <w:t>2,846.4</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34.2</w:t>
            </w:r>
          </w:p>
        </w:tc>
      </w:tr>
      <w:tr>
        <w:tc>
          <w:tcPr>
            <w:tcW w:type="dxa" w:w="1136"/>
            <w:shd w:fill="F7F9FC"/>
            <w:tcMar>
              <w:top w:w="50" w:type="dxa"/>
              <w:bottom w:w="50" w:type="dxa"/>
              <w:left w:w="80" w:type="dxa"/>
              <w:right w:w="80" w:type="dxa"/>
            </w:tcMar>
          </w:tcPr>
          <w:p>
            <w:pPr>
              <w:spacing w:after="0"/>
            </w:pPr>
            <w:r>
              <w:rPr>
                <w:color w:val="212121"/>
                <w:sz w:val="15"/>
              </w:rPr>
              <w:t>34</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Convenience Stores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16.3%</w:t>
            </w:r>
          </w:p>
        </w:tc>
        <w:tc>
          <w:tcPr>
            <w:tcW w:type="dxa" w:w="1136"/>
            <w:shd w:fill="F7F9FC"/>
            <w:tcMar>
              <w:top w:w="50" w:type="dxa"/>
              <w:bottom w:w="50" w:type="dxa"/>
              <w:left w:w="80" w:type="dxa"/>
              <w:right w:w="80" w:type="dxa"/>
            </w:tcMar>
          </w:tcPr>
          <w:p>
            <w:pPr>
              <w:spacing w:after="0"/>
            </w:pPr>
            <w:r>
              <w:rPr>
                <w:color w:val="212121"/>
                <w:sz w:val="15"/>
              </w:rPr>
              <w:t>83,872.4</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13,671.2</w:t>
            </w:r>
          </w:p>
        </w:tc>
      </w:tr>
      <w:tr>
        <w:tc>
          <w:tcPr>
            <w:tcW w:type="dxa" w:w="1136"/>
            <w:shd w:fill="FFFFFF"/>
            <w:tcMar>
              <w:top w:w="50" w:type="dxa"/>
              <w:bottom w:w="50" w:type="dxa"/>
              <w:left w:w="80" w:type="dxa"/>
              <w:right w:w="80" w:type="dxa"/>
            </w:tcMar>
          </w:tcPr>
          <w:p>
            <w:pPr>
              <w:spacing w:after="0"/>
            </w:pPr>
            <w:r>
              <w:rPr>
                <w:color w:val="212121"/>
                <w:sz w:val="15"/>
              </w:rPr>
              <w:t>35</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6.4%</w:t>
            </w:r>
          </w:p>
        </w:tc>
        <w:tc>
          <w:tcPr>
            <w:tcW w:type="dxa" w:w="1136"/>
            <w:shd w:fill="FFFFFF"/>
            <w:tcMar>
              <w:top w:w="50" w:type="dxa"/>
              <w:bottom w:w="50" w:type="dxa"/>
              <w:left w:w="80" w:type="dxa"/>
              <w:right w:w="80" w:type="dxa"/>
            </w:tcMar>
          </w:tcPr>
          <w:p>
            <w:pPr>
              <w:spacing w:after="0"/>
            </w:pPr>
            <w:r>
              <w:rPr>
                <w:color w:val="212121"/>
                <w:sz w:val="15"/>
              </w:rPr>
              <w:t>83,872.4</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5,367.8</w:t>
            </w:r>
          </w:p>
        </w:tc>
      </w:tr>
      <w:tr>
        <w:tc>
          <w:tcPr>
            <w:tcW w:type="dxa" w:w="1136"/>
            <w:shd w:fill="F7F9FC"/>
            <w:tcMar>
              <w:top w:w="50" w:type="dxa"/>
              <w:bottom w:w="50" w:type="dxa"/>
              <w:left w:w="80" w:type="dxa"/>
              <w:right w:w="80" w:type="dxa"/>
            </w:tcMar>
          </w:tcPr>
          <w:p>
            <w:pPr>
              <w:spacing w:after="0"/>
            </w:pPr>
            <w:r>
              <w:rPr>
                <w:color w:val="212121"/>
                <w:sz w:val="15"/>
              </w:rPr>
              <w:t>36</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2.2%</w:t>
            </w:r>
          </w:p>
        </w:tc>
        <w:tc>
          <w:tcPr>
            <w:tcW w:type="dxa" w:w="1136"/>
            <w:shd w:fill="F7F9FC"/>
            <w:tcMar>
              <w:top w:w="50" w:type="dxa"/>
              <w:bottom w:w="50" w:type="dxa"/>
              <w:left w:w="80" w:type="dxa"/>
              <w:right w:w="80" w:type="dxa"/>
            </w:tcMar>
          </w:tcPr>
          <w:p>
            <w:pPr>
              <w:spacing w:after="0"/>
            </w:pPr>
            <w:r>
              <w:rPr>
                <w:color w:val="212121"/>
                <w:sz w:val="15"/>
              </w:rPr>
              <w:t>83,872.4</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1,845.2</w:t>
            </w:r>
          </w:p>
        </w:tc>
      </w:tr>
      <w:tr>
        <w:tc>
          <w:tcPr>
            <w:tcW w:type="dxa" w:w="1136"/>
            <w:shd w:fill="FFFFFF"/>
            <w:tcMar>
              <w:top w:w="50" w:type="dxa"/>
              <w:bottom w:w="50" w:type="dxa"/>
              <w:left w:w="80" w:type="dxa"/>
              <w:right w:w="80" w:type="dxa"/>
            </w:tcMar>
          </w:tcPr>
          <w:p>
            <w:pPr>
              <w:spacing w:after="0"/>
            </w:pPr>
            <w:r>
              <w:rPr>
                <w:color w:val="212121"/>
                <w:sz w:val="15"/>
              </w:rPr>
              <w:t>37</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14.7%</w:t>
            </w:r>
          </w:p>
        </w:tc>
        <w:tc>
          <w:tcPr>
            <w:tcW w:type="dxa" w:w="1136"/>
            <w:shd w:fill="FFFFFF"/>
            <w:tcMar>
              <w:top w:w="50" w:type="dxa"/>
              <w:bottom w:w="50" w:type="dxa"/>
              <w:left w:w="80" w:type="dxa"/>
              <w:right w:w="80" w:type="dxa"/>
            </w:tcMar>
          </w:tcPr>
          <w:p>
            <w:pPr>
              <w:spacing w:after="0"/>
            </w:pPr>
            <w:r>
              <w:rPr>
                <w:color w:val="212121"/>
                <w:sz w:val="15"/>
              </w:rPr>
              <w:t>180.8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26.6</w:t>
            </w:r>
          </w:p>
        </w:tc>
      </w:tr>
      <w:tr>
        <w:tc>
          <w:tcPr>
            <w:tcW w:type="dxa" w:w="1136"/>
            <w:shd w:fill="F7F9FC"/>
            <w:tcMar>
              <w:top w:w="50" w:type="dxa"/>
              <w:bottom w:w="50" w:type="dxa"/>
              <w:left w:w="80" w:type="dxa"/>
              <w:right w:w="80" w:type="dxa"/>
            </w:tcMar>
          </w:tcPr>
          <w:p>
            <w:pPr>
              <w:spacing w:after="0"/>
            </w:pPr>
            <w:r>
              <w:rPr>
                <w:color w:val="212121"/>
                <w:sz w:val="15"/>
              </w:rPr>
              <w:t>38</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4.9%</w:t>
            </w:r>
          </w:p>
        </w:tc>
        <w:tc>
          <w:tcPr>
            <w:tcW w:type="dxa" w:w="1136"/>
            <w:shd w:fill="F7F9FC"/>
            <w:tcMar>
              <w:top w:w="50" w:type="dxa"/>
              <w:bottom w:w="50" w:type="dxa"/>
              <w:left w:w="80" w:type="dxa"/>
              <w:right w:w="80" w:type="dxa"/>
            </w:tcMar>
          </w:tcPr>
          <w:p>
            <w:pPr>
              <w:spacing w:after="0"/>
            </w:pPr>
            <w:r>
              <w:rPr>
                <w:color w:val="212121"/>
                <w:sz w:val="15"/>
              </w:rPr>
              <w:t>180.8</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8.9</w:t>
            </w:r>
          </w:p>
        </w:tc>
      </w:tr>
      <w:tr>
        <w:tc>
          <w:tcPr>
            <w:tcW w:type="dxa" w:w="1136"/>
            <w:shd w:fill="FFFFFF"/>
            <w:tcMar>
              <w:top w:w="50" w:type="dxa"/>
              <w:bottom w:w="50" w:type="dxa"/>
              <w:left w:w="80" w:type="dxa"/>
              <w:right w:w="80" w:type="dxa"/>
            </w:tcMar>
          </w:tcPr>
          <w:p>
            <w:pPr>
              <w:spacing w:after="0"/>
            </w:pPr>
            <w:r>
              <w:rPr>
                <w:color w:val="212121"/>
                <w:sz w:val="15"/>
              </w:rPr>
              <w:t>39</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1.9%</w:t>
            </w:r>
          </w:p>
        </w:tc>
        <w:tc>
          <w:tcPr>
            <w:tcW w:type="dxa" w:w="1136"/>
            <w:shd w:fill="FFFFFF"/>
            <w:tcMar>
              <w:top w:w="50" w:type="dxa"/>
              <w:bottom w:w="50" w:type="dxa"/>
              <w:left w:w="80" w:type="dxa"/>
              <w:right w:w="80" w:type="dxa"/>
            </w:tcMar>
          </w:tcPr>
          <w:p>
            <w:pPr>
              <w:spacing w:after="0"/>
            </w:pPr>
            <w:r>
              <w:rPr>
                <w:color w:val="212121"/>
                <w:sz w:val="15"/>
              </w:rPr>
              <w:t>180.8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3.4</w:t>
            </w:r>
          </w:p>
        </w:tc>
      </w:tr>
      <w:tr>
        <w:tc>
          <w:tcPr>
            <w:tcW w:type="dxa" w:w="1136"/>
            <w:shd w:fill="F7F9FC"/>
            <w:tcMar>
              <w:top w:w="50" w:type="dxa"/>
              <w:bottom w:w="50" w:type="dxa"/>
              <w:left w:w="80" w:type="dxa"/>
              <w:right w:w="80" w:type="dxa"/>
            </w:tcMar>
          </w:tcPr>
          <w:p>
            <w:pPr>
              <w:spacing w:after="0"/>
            </w:pPr>
            <w:r>
              <w:rPr>
                <w:color w:val="212121"/>
                <w:sz w:val="15"/>
              </w:rPr>
              <w:t>40</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Convenience Stores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16.3%</w:t>
            </w:r>
          </w:p>
        </w:tc>
        <w:tc>
          <w:tcPr>
            <w:tcW w:type="dxa" w:w="1136"/>
            <w:shd w:fill="F7F9FC"/>
            <w:tcMar>
              <w:top w:w="50" w:type="dxa"/>
              <w:bottom w:w="50" w:type="dxa"/>
              <w:left w:w="80" w:type="dxa"/>
              <w:right w:w="80" w:type="dxa"/>
            </w:tcMar>
          </w:tcPr>
          <w:p>
            <w:pPr>
              <w:spacing w:after="0"/>
            </w:pPr>
            <w:r>
              <w:rPr>
                <w:color w:val="212121"/>
                <w:sz w:val="15"/>
              </w:rPr>
              <w:t>89,133.0</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14,528.7</w:t>
            </w:r>
          </w:p>
        </w:tc>
      </w:tr>
      <w:tr>
        <w:tc>
          <w:tcPr>
            <w:tcW w:type="dxa" w:w="1136"/>
            <w:shd w:fill="FFFFFF"/>
            <w:tcMar>
              <w:top w:w="50" w:type="dxa"/>
              <w:bottom w:w="50" w:type="dxa"/>
              <w:left w:w="80" w:type="dxa"/>
              <w:right w:w="80" w:type="dxa"/>
            </w:tcMar>
          </w:tcPr>
          <w:p>
            <w:pPr>
              <w:spacing w:after="0"/>
            </w:pPr>
            <w:r>
              <w:rPr>
                <w:color w:val="212121"/>
                <w:sz w:val="15"/>
              </w:rPr>
              <w:t>41</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7.3%</w:t>
            </w:r>
          </w:p>
        </w:tc>
        <w:tc>
          <w:tcPr>
            <w:tcW w:type="dxa" w:w="1136"/>
            <w:shd w:fill="FFFFFF"/>
            <w:tcMar>
              <w:top w:w="50" w:type="dxa"/>
              <w:bottom w:w="50" w:type="dxa"/>
              <w:left w:w="80" w:type="dxa"/>
              <w:right w:w="80" w:type="dxa"/>
            </w:tcMar>
          </w:tcPr>
          <w:p>
            <w:pPr>
              <w:spacing w:after="0"/>
            </w:pPr>
            <w:r>
              <w:rPr>
                <w:color w:val="212121"/>
                <w:sz w:val="15"/>
              </w:rPr>
              <w:t>89,133.0</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6,506.7</w:t>
            </w:r>
          </w:p>
        </w:tc>
      </w:tr>
      <w:tr>
        <w:tc>
          <w:tcPr>
            <w:tcW w:type="dxa" w:w="1136"/>
            <w:shd w:fill="F7F9FC"/>
            <w:tcMar>
              <w:top w:w="50" w:type="dxa"/>
              <w:bottom w:w="50" w:type="dxa"/>
              <w:left w:w="80" w:type="dxa"/>
              <w:right w:w="80" w:type="dxa"/>
            </w:tcMar>
          </w:tcPr>
          <w:p>
            <w:pPr>
              <w:spacing w:after="0"/>
            </w:pPr>
            <w:r>
              <w:rPr>
                <w:color w:val="212121"/>
                <w:sz w:val="15"/>
              </w:rPr>
              <w:t>42</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3.5%</w:t>
            </w:r>
          </w:p>
        </w:tc>
        <w:tc>
          <w:tcPr>
            <w:tcW w:type="dxa" w:w="1136"/>
            <w:shd w:fill="F7F9FC"/>
            <w:tcMar>
              <w:top w:w="50" w:type="dxa"/>
              <w:bottom w:w="50" w:type="dxa"/>
              <w:left w:w="80" w:type="dxa"/>
              <w:right w:w="80" w:type="dxa"/>
            </w:tcMar>
          </w:tcPr>
          <w:p>
            <w:pPr>
              <w:spacing w:after="0"/>
            </w:pPr>
            <w:r>
              <w:rPr>
                <w:color w:val="212121"/>
                <w:sz w:val="15"/>
              </w:rPr>
              <w:t>89,133.0</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3,119.7</w:t>
            </w:r>
          </w:p>
        </w:tc>
      </w:tr>
      <w:tr>
        <w:tc>
          <w:tcPr>
            <w:tcW w:type="dxa" w:w="1136"/>
            <w:shd w:fill="FFFFFF"/>
            <w:tcMar>
              <w:top w:w="50" w:type="dxa"/>
              <w:bottom w:w="50" w:type="dxa"/>
              <w:left w:w="80" w:type="dxa"/>
              <w:right w:w="80" w:type="dxa"/>
            </w:tcMar>
          </w:tcPr>
          <w:p>
            <w:pPr>
              <w:spacing w:after="0"/>
            </w:pPr>
            <w:r>
              <w:rPr>
                <w:color w:val="212121"/>
                <w:sz w:val="15"/>
              </w:rPr>
              <w:t>43</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Convenience Stores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19.0%</w:t>
            </w:r>
          </w:p>
        </w:tc>
        <w:tc>
          <w:tcPr>
            <w:tcW w:type="dxa" w:w="1136"/>
            <w:shd w:fill="FFFFFF"/>
            <w:tcMar>
              <w:top w:w="50" w:type="dxa"/>
              <w:bottom w:w="50" w:type="dxa"/>
              <w:left w:w="80" w:type="dxa"/>
              <w:right w:w="80" w:type="dxa"/>
            </w:tcMar>
          </w:tcPr>
          <w:p>
            <w:pPr>
              <w:spacing w:after="0"/>
            </w:pPr>
            <w:r>
              <w:rPr>
                <w:color w:val="212121"/>
                <w:sz w:val="15"/>
              </w:rPr>
              <w:t>182.8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34.7</w:t>
            </w:r>
          </w:p>
        </w:tc>
      </w:tr>
      <w:tr>
        <w:tc>
          <w:tcPr>
            <w:tcW w:type="dxa" w:w="1136"/>
            <w:shd w:fill="F7F9FC"/>
            <w:tcMar>
              <w:top w:w="50" w:type="dxa"/>
              <w:bottom w:w="50" w:type="dxa"/>
              <w:left w:w="80" w:type="dxa"/>
              <w:right w:w="80" w:type="dxa"/>
            </w:tcMar>
          </w:tcPr>
          <w:p>
            <w:pPr>
              <w:spacing w:after="0"/>
            </w:pPr>
            <w:r>
              <w:rPr>
                <w:color w:val="212121"/>
                <w:sz w:val="15"/>
              </w:rPr>
              <w:t>44</w:t>
            </w:r>
          </w:p>
        </w:tc>
        <w:tc>
          <w:tcPr>
            <w:tcW w:type="dxa" w:w="1136"/>
            <w:shd w:fill="F7F9FC"/>
            <w:tcMar>
              <w:top w:w="50" w:type="dxa"/>
              <w:bottom w:w="50" w:type="dxa"/>
              <w:left w:w="80" w:type="dxa"/>
              <w:right w:w="80" w:type="dxa"/>
            </w:tcMar>
          </w:tcPr>
          <w:p>
            <w:pPr>
              <w:spacing w:after="0"/>
            </w:pPr>
            <w:r>
              <w:rPr>
                <w:color w:val="212121"/>
                <w:sz w:val="15"/>
              </w:rPr>
              <w:t>Thailand</w:t>
            </w:r>
          </w:p>
        </w:tc>
        <w:tc>
          <w:tcPr>
            <w:tcW w:type="dxa" w:w="1136"/>
            <w:shd w:fill="F7F9FC"/>
            <w:tcMar>
              <w:top w:w="50" w:type="dxa"/>
              <w:bottom w:w="50" w:type="dxa"/>
              <w:left w:w="80" w:type="dxa"/>
              <w:right w:w="80" w:type="dxa"/>
            </w:tcMar>
          </w:tcPr>
          <w:p>
            <w:pPr>
              <w:spacing w:after="0"/>
            </w:pPr>
            <w:r>
              <w:rPr>
                <w:color w:val="212121"/>
                <w:sz w:val="15"/>
              </w:rPr>
              <w:t>RTD 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5.0%</w:t>
            </w:r>
          </w:p>
        </w:tc>
        <w:tc>
          <w:tcPr>
            <w:tcW w:type="dxa" w:w="1136"/>
            <w:shd w:fill="F7F9FC"/>
            <w:tcMar>
              <w:top w:w="50" w:type="dxa"/>
              <w:bottom w:w="50" w:type="dxa"/>
              <w:left w:w="80" w:type="dxa"/>
              <w:right w:w="80" w:type="dxa"/>
            </w:tcMar>
          </w:tcPr>
          <w:p>
            <w:pPr>
              <w:spacing w:after="0"/>
            </w:pPr>
            <w:r>
              <w:rPr>
                <w:color w:val="212121"/>
                <w:sz w:val="15"/>
              </w:rPr>
              <w:t>182.8</w:t>
            </w:r>
          </w:p>
        </w:tc>
        <w:tc>
          <w:tcPr>
            <w:tcW w:type="dxa" w:w="1136"/>
            <w:shd w:fill="F7F9FC"/>
            <w:tcMar>
              <w:top w:w="50" w:type="dxa"/>
              <w:bottom w:w="50" w:type="dxa"/>
              <w:left w:w="80" w:type="dxa"/>
              <w:right w:w="80" w:type="dxa"/>
            </w:tcMar>
          </w:tcPr>
          <w:p>
            <w:pPr>
              <w:spacing w:after="0"/>
            </w:pPr>
            <w:r>
              <w:rPr>
                <w:color w:val="212121"/>
                <w:sz w:val="15"/>
              </w:rPr>
              <w:t>millio</w:t>
            </w:r>
          </w:p>
        </w:tc>
        <w:tc>
          <w:tcPr>
            <w:tcW w:type="dxa" w:w="1136"/>
            <w:shd w:fill="F7F9FC"/>
            <w:tcMar>
              <w:top w:w="50" w:type="dxa"/>
              <w:bottom w:w="50" w:type="dxa"/>
              <w:left w:w="80" w:type="dxa"/>
              <w:right w:w="80" w:type="dxa"/>
            </w:tcMar>
          </w:tcPr>
          <w:p>
            <w:pPr>
              <w:spacing w:after="0"/>
            </w:pPr>
            <w:r>
              <w:rPr>
                <w:color w:val="212121"/>
                <w:sz w:val="15"/>
              </w:rPr>
              <w:t>9.1</w:t>
            </w:r>
          </w:p>
        </w:tc>
      </w:tr>
      <w:tr>
        <w:tc>
          <w:tcPr>
            <w:tcW w:type="dxa" w:w="1136"/>
            <w:shd w:fill="FFFFFF"/>
            <w:tcMar>
              <w:top w:w="50" w:type="dxa"/>
              <w:bottom w:w="50" w:type="dxa"/>
              <w:left w:w="80" w:type="dxa"/>
              <w:right w:w="80" w:type="dxa"/>
            </w:tcMar>
          </w:tcPr>
          <w:p>
            <w:pPr>
              <w:spacing w:after="0"/>
            </w:pPr>
            <w:r>
              <w:rPr>
                <w:color w:val="212121"/>
                <w:sz w:val="15"/>
              </w:rPr>
              <w:t>45</w:t>
            </w:r>
          </w:p>
        </w:tc>
        <w:tc>
          <w:tcPr>
            <w:tcW w:type="dxa" w:w="1136"/>
            <w:shd w:fill="FFFFFF"/>
            <w:tcMar>
              <w:top w:w="50" w:type="dxa"/>
              <w:bottom w:w="50" w:type="dxa"/>
              <w:left w:w="80" w:type="dxa"/>
              <w:right w:w="80" w:type="dxa"/>
            </w:tcMar>
          </w:tcPr>
          <w:p>
            <w:pPr>
              <w:spacing w:after="0"/>
            </w:pPr>
            <w:r>
              <w:rPr>
                <w:color w:val="212121"/>
                <w:sz w:val="15"/>
              </w:rPr>
              <w:t>Thailand</w:t>
            </w:r>
          </w:p>
        </w:tc>
        <w:tc>
          <w:tcPr>
            <w:tcW w:type="dxa" w:w="1136"/>
            <w:shd w:fill="FFFFFF"/>
            <w:tcMar>
              <w:top w:w="50" w:type="dxa"/>
              <w:bottom w:w="50" w:type="dxa"/>
              <w:left w:w="80" w:type="dxa"/>
              <w:right w:w="80" w:type="dxa"/>
            </w:tcMar>
          </w:tcPr>
          <w:p>
            <w:pPr>
              <w:spacing w:after="0"/>
            </w:pPr>
            <w:r>
              <w:rPr>
                <w:color w:val="212121"/>
                <w:sz w:val="15"/>
              </w:rPr>
              <w:t>RTD Coffee</w:t>
            </w:r>
          </w:p>
        </w:tc>
        <w:tc>
          <w:tcPr>
            <w:tcW w:type="dxa" w:w="1136"/>
            <w:shd w:fill="FFFFFF"/>
            <w:tcMar>
              <w:top w:w="50" w:type="dxa"/>
              <w:bottom w:w="50" w:type="dxa"/>
              <w:left w:w="80" w:type="dxa"/>
              <w:right w:w="80" w:type="dxa"/>
            </w:tcMar>
          </w:tcPr>
          <w:p>
            <w:pPr>
              <w:spacing w:after="0"/>
            </w:pPr>
            <w:r>
              <w:rPr>
                <w:color w:val="212121"/>
                <w:sz w:val="15"/>
              </w:rPr>
              <w:t>Retail E-Commerce</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2.1%</w:t>
            </w:r>
          </w:p>
        </w:tc>
        <w:tc>
          <w:tcPr>
            <w:tcW w:type="dxa" w:w="1136"/>
            <w:shd w:fill="FFFFFF"/>
            <w:tcMar>
              <w:top w:w="50" w:type="dxa"/>
              <w:bottom w:w="50" w:type="dxa"/>
              <w:left w:w="80" w:type="dxa"/>
              <w:right w:w="80" w:type="dxa"/>
            </w:tcMar>
          </w:tcPr>
          <w:p>
            <w:pPr>
              <w:spacing w:after="0"/>
            </w:pPr>
            <w:r>
              <w:rPr>
                <w:color w:val="212121"/>
                <w:sz w:val="15"/>
              </w:rPr>
              <w:t>182.8</w:t>
            </w:r>
          </w:p>
        </w:tc>
        <w:tc>
          <w:tcPr>
            <w:tcW w:type="dxa" w:w="1136"/>
            <w:shd w:fill="FFFFFF"/>
            <w:tcMar>
              <w:top w:w="50" w:type="dxa"/>
              <w:bottom w:w="50" w:type="dxa"/>
              <w:left w:w="80" w:type="dxa"/>
              <w:right w:w="80" w:type="dxa"/>
            </w:tcMar>
          </w:tcPr>
          <w:p>
            <w:pPr>
              <w:spacing w:after="0"/>
            </w:pPr>
            <w:r>
              <w:rPr>
                <w:color w:val="212121"/>
                <w:sz w:val="15"/>
              </w:rPr>
              <w:t>millio</w:t>
            </w:r>
          </w:p>
        </w:tc>
        <w:tc>
          <w:tcPr>
            <w:tcW w:type="dxa" w:w="1136"/>
            <w:shd w:fill="FFFFFF"/>
            <w:tcMar>
              <w:top w:w="50" w:type="dxa"/>
              <w:bottom w:w="50" w:type="dxa"/>
              <w:left w:w="80" w:type="dxa"/>
              <w:right w:w="80" w:type="dxa"/>
            </w:tcMar>
          </w:tcPr>
          <w:p>
            <w:pPr>
              <w:spacing w:after="0"/>
            </w:pPr>
            <w:r>
              <w:rPr>
                <w:color w:val="212121"/>
                <w:sz w:val="15"/>
              </w:rPr>
              <w:t>3.8</w:t>
            </w:r>
          </w:p>
        </w:tc>
      </w:tr>
      <w:tr>
        <w:tc>
          <w:tcPr>
            <w:tcW w:type="dxa" w:w="1136"/>
            <w:shd w:fill="F7F9FC"/>
            <w:tcMar>
              <w:top w:w="50" w:type="dxa"/>
              <w:bottom w:w="50" w:type="dxa"/>
              <w:left w:w="80" w:type="dxa"/>
              <w:right w:w="80" w:type="dxa"/>
            </w:tcMar>
          </w:tcPr>
          <w:p>
            <w:pPr>
              <w:spacing w:after="0"/>
            </w:pPr>
            <w:r>
              <w:rPr>
                <w:color w:val="212121"/>
                <w:sz w:val="15"/>
              </w:rPr>
              <w:t>46</w:t>
            </w:r>
          </w:p>
        </w:tc>
        <w:tc>
          <w:tcPr>
            <w:tcW w:type="dxa" w:w="1136"/>
            <w:shd w:fill="F7F9FC"/>
            <w:tcMar>
              <w:top w:w="50" w:type="dxa"/>
              <w:bottom w:w="50" w:type="dxa"/>
              <w:left w:w="80" w:type="dxa"/>
              <w:right w:w="80" w:type="dxa"/>
            </w:tcMar>
          </w:tcPr>
          <w:p>
            <w:pPr>
              <w:spacing w:after="0"/>
            </w:pPr>
            <w:r>
              <w:rPr>
                <w:color w:val="212121"/>
                <w:sz w:val="15"/>
              </w:rPr>
              <w:t>USA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Supermarkets</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27.0%</w:t>
            </w:r>
          </w:p>
        </w:tc>
        <w:tc>
          <w:tcPr>
            <w:tcW w:type="dxa" w:w="1136"/>
            <w:shd w:fill="F7F9FC"/>
            <w:tcMar>
              <w:top w:w="50" w:type="dxa"/>
              <w:bottom w:w="50" w:type="dxa"/>
              <w:left w:w="80" w:type="dxa"/>
              <w:right w:w="80" w:type="dxa"/>
            </w:tcMar>
          </w:tcPr>
          <w:p>
            <w:pPr>
              <w:spacing w:after="0"/>
            </w:pPr>
            <w:r>
              <w:rPr>
                <w:color w:val="212121"/>
                <w:sz w:val="15"/>
              </w:rPr>
              <w:t>858,536.5</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231,804.9</w:t>
            </w:r>
          </w:p>
        </w:tc>
      </w:tr>
      <w:tr>
        <w:tc>
          <w:tcPr>
            <w:tcW w:type="dxa" w:w="1136"/>
            <w:shd w:fill="FFFFFF"/>
            <w:tcMar>
              <w:top w:w="50" w:type="dxa"/>
              <w:bottom w:w="50" w:type="dxa"/>
              <w:left w:w="80" w:type="dxa"/>
              <w:right w:w="80" w:type="dxa"/>
            </w:tcMar>
          </w:tcPr>
          <w:p>
            <w:pPr>
              <w:spacing w:after="0"/>
            </w:pPr>
            <w:r>
              <w:rPr>
                <w:color w:val="212121"/>
                <w:sz w:val="15"/>
              </w:rPr>
              <w:t>47</w:t>
            </w:r>
          </w:p>
        </w:tc>
        <w:tc>
          <w:tcPr>
            <w:tcW w:type="dxa" w:w="1136"/>
            <w:shd w:fill="FFFFFF"/>
            <w:tcMar>
              <w:top w:w="50" w:type="dxa"/>
              <w:bottom w:w="50" w:type="dxa"/>
              <w:left w:w="80" w:type="dxa"/>
              <w:right w:w="80" w:type="dxa"/>
            </w:tcMar>
          </w:tcPr>
          <w:p>
            <w:pPr>
              <w:spacing w:after="0"/>
            </w:pPr>
            <w:r>
              <w:rPr>
                <w:color w:val="212121"/>
                <w:sz w:val="15"/>
              </w:rPr>
              <w:t>USA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Discounters</w:t>
            </w:r>
          </w:p>
        </w:tc>
        <w:tc>
          <w:tcPr>
            <w:tcW w:type="dxa" w:w="1136"/>
            <w:shd w:fill="FFFFFF"/>
            <w:tcMar>
              <w:top w:w="50" w:type="dxa"/>
              <w:bottom w:w="50" w:type="dxa"/>
              <w:left w:w="80" w:type="dxa"/>
              <w:right w:w="80" w:type="dxa"/>
            </w:tcMar>
          </w:tcPr>
          <w:p>
            <w:pPr>
              <w:spacing w:after="0"/>
            </w:pPr>
            <w:r>
              <w:rPr>
                <w:color w:val="212121"/>
                <w:sz w:val="15"/>
              </w:rPr>
              <w:t>2020</w:t>
            </w:r>
          </w:p>
        </w:tc>
        <w:tc>
          <w:tcPr>
            <w:tcW w:type="dxa" w:w="1136"/>
            <w:shd w:fill="FFFFFF"/>
            <w:tcMar>
              <w:top w:w="50" w:type="dxa"/>
              <w:bottom w:w="50" w:type="dxa"/>
              <w:left w:w="80" w:type="dxa"/>
              <w:right w:w="80" w:type="dxa"/>
            </w:tcMar>
          </w:tcPr>
          <w:p>
            <w:pPr>
              <w:spacing w:after="0"/>
            </w:pPr>
            <w:r>
              <w:rPr>
                <w:color w:val="212121"/>
                <w:sz w:val="15"/>
              </w:rPr>
              <w:t>2.1%</w:t>
            </w:r>
          </w:p>
        </w:tc>
        <w:tc>
          <w:tcPr>
            <w:tcW w:type="dxa" w:w="1136"/>
            <w:shd w:fill="FFFFFF"/>
            <w:tcMar>
              <w:top w:w="50" w:type="dxa"/>
              <w:bottom w:w="50" w:type="dxa"/>
              <w:left w:w="80" w:type="dxa"/>
              <w:right w:w="80" w:type="dxa"/>
            </w:tcMar>
          </w:tcPr>
          <w:p>
            <w:pPr>
              <w:spacing w:after="0"/>
            </w:pPr>
            <w:r>
              <w:rPr>
                <w:color w:val="212121"/>
                <w:sz w:val="15"/>
              </w:rPr>
              <w:t>858,536.5</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18,029.3</w:t>
            </w:r>
          </w:p>
        </w:tc>
      </w:tr>
      <w:tr>
        <w:tc>
          <w:tcPr>
            <w:tcW w:type="dxa" w:w="1136"/>
            <w:shd w:fill="F7F9FC"/>
            <w:tcMar>
              <w:top w:w="50" w:type="dxa"/>
              <w:bottom w:w="50" w:type="dxa"/>
              <w:left w:w="80" w:type="dxa"/>
              <w:right w:w="80" w:type="dxa"/>
            </w:tcMar>
          </w:tcPr>
          <w:p>
            <w:pPr>
              <w:spacing w:after="0"/>
            </w:pPr>
            <w:r>
              <w:rPr>
                <w:color w:val="212121"/>
                <w:sz w:val="15"/>
              </w:rPr>
              <w:t>48</w:t>
            </w:r>
          </w:p>
        </w:tc>
        <w:tc>
          <w:tcPr>
            <w:tcW w:type="dxa" w:w="1136"/>
            <w:shd w:fill="F7F9FC"/>
            <w:tcMar>
              <w:top w:w="50" w:type="dxa"/>
              <w:bottom w:w="50" w:type="dxa"/>
              <w:left w:w="80" w:type="dxa"/>
              <w:right w:w="80" w:type="dxa"/>
            </w:tcMar>
          </w:tcPr>
          <w:p>
            <w:pPr>
              <w:spacing w:after="0"/>
            </w:pPr>
            <w:r>
              <w:rPr>
                <w:color w:val="212121"/>
                <w:sz w:val="15"/>
              </w:rPr>
              <w:t>USA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Retail E-Commerce</w:t>
            </w:r>
          </w:p>
        </w:tc>
        <w:tc>
          <w:tcPr>
            <w:tcW w:type="dxa" w:w="1136"/>
            <w:shd w:fill="F7F9FC"/>
            <w:tcMar>
              <w:top w:w="50" w:type="dxa"/>
              <w:bottom w:w="50" w:type="dxa"/>
              <w:left w:w="80" w:type="dxa"/>
              <w:right w:w="80" w:type="dxa"/>
            </w:tcMar>
          </w:tcPr>
          <w:p>
            <w:pPr>
              <w:spacing w:after="0"/>
            </w:pPr>
            <w:r>
              <w:rPr>
                <w:color w:val="212121"/>
                <w:sz w:val="15"/>
              </w:rPr>
              <w:t>2020</w:t>
            </w:r>
          </w:p>
        </w:tc>
        <w:tc>
          <w:tcPr>
            <w:tcW w:type="dxa" w:w="1136"/>
            <w:shd w:fill="F7F9FC"/>
            <w:tcMar>
              <w:top w:w="50" w:type="dxa"/>
              <w:bottom w:w="50" w:type="dxa"/>
              <w:left w:w="80" w:type="dxa"/>
              <w:right w:w="80" w:type="dxa"/>
            </w:tcMar>
          </w:tcPr>
          <w:p>
            <w:pPr>
              <w:spacing w:after="0"/>
            </w:pPr>
            <w:r>
              <w:rPr>
                <w:color w:val="212121"/>
                <w:sz w:val="15"/>
              </w:rPr>
              <w:t>17.9%</w:t>
            </w:r>
          </w:p>
        </w:tc>
        <w:tc>
          <w:tcPr>
            <w:tcW w:type="dxa" w:w="1136"/>
            <w:shd w:fill="F7F9FC"/>
            <w:tcMar>
              <w:top w:w="50" w:type="dxa"/>
              <w:bottom w:w="50" w:type="dxa"/>
              <w:left w:w="80" w:type="dxa"/>
              <w:right w:w="80" w:type="dxa"/>
            </w:tcMar>
          </w:tcPr>
          <w:p>
            <w:pPr>
              <w:spacing w:after="0"/>
            </w:pPr>
            <w:r>
              <w:rPr>
                <w:color w:val="212121"/>
                <w:sz w:val="15"/>
              </w:rPr>
              <w:t>858,536.5</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153,678.0</w:t>
            </w:r>
          </w:p>
        </w:tc>
      </w:tr>
      <w:tr>
        <w:tc>
          <w:tcPr>
            <w:tcW w:type="dxa" w:w="1136"/>
            <w:shd w:fill="FFFFFF"/>
            <w:tcMar>
              <w:top w:w="50" w:type="dxa"/>
              <w:bottom w:w="50" w:type="dxa"/>
              <w:left w:w="80" w:type="dxa"/>
              <w:right w:w="80" w:type="dxa"/>
            </w:tcMar>
          </w:tcPr>
          <w:p>
            <w:pPr>
              <w:spacing w:after="0"/>
            </w:pPr>
            <w:r>
              <w:rPr>
                <w:color w:val="212121"/>
                <w:sz w:val="15"/>
              </w:rPr>
              <w:t>49</w:t>
            </w:r>
          </w:p>
        </w:tc>
        <w:tc>
          <w:tcPr>
            <w:tcW w:type="dxa" w:w="1136"/>
            <w:shd w:fill="FFFFFF"/>
            <w:tcMar>
              <w:top w:w="50" w:type="dxa"/>
              <w:bottom w:w="50" w:type="dxa"/>
              <w:left w:w="80" w:type="dxa"/>
              <w:right w:w="80" w:type="dxa"/>
            </w:tcMar>
          </w:tcPr>
          <w:p>
            <w:pPr>
              <w:spacing w:after="0"/>
            </w:pPr>
            <w:r>
              <w:rPr>
                <w:color w:val="212121"/>
                <w:sz w:val="15"/>
              </w:rPr>
              <w:t>USA</w:t>
            </w:r>
          </w:p>
        </w:tc>
        <w:tc>
          <w:tcPr>
            <w:tcW w:type="dxa" w:w="1136"/>
            <w:shd w:fill="FFFFFF"/>
            <w:tcMar>
              <w:top w:w="50" w:type="dxa"/>
              <w:bottom w:w="50" w:type="dxa"/>
              <w:left w:w="80" w:type="dxa"/>
              <w:right w:w="80" w:type="dxa"/>
            </w:tcMar>
          </w:tcPr>
          <w:p>
            <w:pPr>
              <w:spacing w:after="0"/>
            </w:pPr>
            <w:r>
              <w:rPr>
                <w:color w:val="212121"/>
                <w:sz w:val="15"/>
              </w:rPr>
              <w:t>Coffee</w:t>
            </w:r>
          </w:p>
        </w:tc>
        <w:tc>
          <w:tcPr>
            <w:tcW w:type="dxa" w:w="1136"/>
            <w:shd w:fill="FFFFFF"/>
            <w:tcMar>
              <w:top w:w="50" w:type="dxa"/>
              <w:bottom w:w="50" w:type="dxa"/>
              <w:left w:w="80" w:type="dxa"/>
              <w:right w:w="80" w:type="dxa"/>
            </w:tcMar>
          </w:tcPr>
          <w:p>
            <w:pPr>
              <w:spacing w:after="0"/>
            </w:pPr>
            <w:r>
              <w:rPr>
                <w:color w:val="212121"/>
                <w:sz w:val="15"/>
              </w:rPr>
              <w:t>Supermarkets</w:t>
            </w:r>
          </w:p>
        </w:tc>
        <w:tc>
          <w:tcPr>
            <w:tcW w:type="dxa" w:w="1136"/>
            <w:shd w:fill="FFFFFF"/>
            <w:tcMar>
              <w:top w:w="50" w:type="dxa"/>
              <w:bottom w:w="50" w:type="dxa"/>
              <w:left w:w="80" w:type="dxa"/>
              <w:right w:w="80" w:type="dxa"/>
            </w:tcMar>
          </w:tcPr>
          <w:p>
            <w:pPr>
              <w:spacing w:after="0"/>
            </w:pPr>
            <w:r>
              <w:rPr>
                <w:color w:val="212121"/>
                <w:sz w:val="15"/>
              </w:rPr>
              <w:t>2025</w:t>
            </w:r>
          </w:p>
        </w:tc>
        <w:tc>
          <w:tcPr>
            <w:tcW w:type="dxa" w:w="1136"/>
            <w:shd w:fill="FFFFFF"/>
            <w:tcMar>
              <w:top w:w="50" w:type="dxa"/>
              <w:bottom w:w="50" w:type="dxa"/>
              <w:left w:w="80" w:type="dxa"/>
              <w:right w:w="80" w:type="dxa"/>
            </w:tcMar>
          </w:tcPr>
          <w:p>
            <w:pPr>
              <w:spacing w:after="0"/>
            </w:pPr>
            <w:r>
              <w:rPr>
                <w:color w:val="212121"/>
                <w:sz w:val="15"/>
              </w:rPr>
              <w:t>23.1%</w:t>
            </w:r>
          </w:p>
        </w:tc>
        <w:tc>
          <w:tcPr>
            <w:tcW w:type="dxa" w:w="1136"/>
            <w:shd w:fill="FFFFFF"/>
            <w:tcMar>
              <w:top w:w="50" w:type="dxa"/>
              <w:bottom w:w="50" w:type="dxa"/>
              <w:left w:w="80" w:type="dxa"/>
              <w:right w:w="80" w:type="dxa"/>
            </w:tcMar>
          </w:tcPr>
          <w:p>
            <w:pPr>
              <w:spacing w:after="0"/>
            </w:pPr>
            <w:r>
              <w:rPr>
                <w:color w:val="212121"/>
                <w:sz w:val="15"/>
              </w:rPr>
              <w:t>735,187.2</w:t>
            </w:r>
          </w:p>
        </w:tc>
        <w:tc>
          <w:tcPr>
            <w:tcW w:type="dxa" w:w="1136"/>
            <w:shd w:fill="FFFFFF"/>
            <w:tcMar>
              <w:top w:w="50" w:type="dxa"/>
              <w:bottom w:w="50" w:type="dxa"/>
              <w:left w:w="80" w:type="dxa"/>
              <w:right w:w="80" w:type="dxa"/>
            </w:tcMar>
          </w:tcPr>
          <w:p>
            <w:pPr>
              <w:spacing w:after="0"/>
            </w:pPr>
            <w:r>
              <w:rPr>
                <w:color w:val="212121"/>
                <w:sz w:val="15"/>
              </w:rPr>
              <w:t>Tonnes</w:t>
            </w:r>
          </w:p>
        </w:tc>
        <w:tc>
          <w:tcPr>
            <w:tcW w:type="dxa" w:w="1136"/>
            <w:shd w:fill="FFFFFF"/>
            <w:tcMar>
              <w:top w:w="50" w:type="dxa"/>
              <w:bottom w:w="50" w:type="dxa"/>
              <w:left w:w="80" w:type="dxa"/>
              <w:right w:w="80" w:type="dxa"/>
            </w:tcMar>
          </w:tcPr>
          <w:p>
            <w:pPr>
              <w:spacing w:after="0"/>
            </w:pPr>
            <w:r>
              <w:rPr>
                <w:color w:val="212121"/>
                <w:sz w:val="15"/>
              </w:rPr>
              <w:t>169,828.2</w:t>
            </w:r>
          </w:p>
        </w:tc>
      </w:tr>
      <w:tr>
        <w:tc>
          <w:tcPr>
            <w:tcW w:type="dxa" w:w="1136"/>
            <w:shd w:fill="F7F9FC"/>
            <w:tcMar>
              <w:top w:w="50" w:type="dxa"/>
              <w:bottom w:w="50" w:type="dxa"/>
              <w:left w:w="80" w:type="dxa"/>
              <w:right w:w="80" w:type="dxa"/>
            </w:tcMar>
          </w:tcPr>
          <w:p>
            <w:pPr>
              <w:spacing w:after="0"/>
            </w:pPr>
            <w:r>
              <w:rPr>
                <w:color w:val="212121"/>
                <w:sz w:val="15"/>
              </w:rPr>
              <w:t>50</w:t>
            </w:r>
          </w:p>
        </w:tc>
        <w:tc>
          <w:tcPr>
            <w:tcW w:type="dxa" w:w="1136"/>
            <w:shd w:fill="F7F9FC"/>
            <w:tcMar>
              <w:top w:w="50" w:type="dxa"/>
              <w:bottom w:w="50" w:type="dxa"/>
              <w:left w:w="80" w:type="dxa"/>
              <w:right w:w="80" w:type="dxa"/>
            </w:tcMar>
          </w:tcPr>
          <w:p>
            <w:pPr>
              <w:spacing w:after="0"/>
            </w:pPr>
            <w:r>
              <w:rPr>
                <w:color w:val="212121"/>
                <w:sz w:val="15"/>
              </w:rPr>
              <w:t>USA</w:t>
            </w:r>
          </w:p>
        </w:tc>
        <w:tc>
          <w:tcPr>
            <w:tcW w:type="dxa" w:w="1136"/>
            <w:shd w:fill="F7F9FC"/>
            <w:tcMar>
              <w:top w:w="50" w:type="dxa"/>
              <w:bottom w:w="50" w:type="dxa"/>
              <w:left w:w="80" w:type="dxa"/>
              <w:right w:w="80" w:type="dxa"/>
            </w:tcMar>
          </w:tcPr>
          <w:p>
            <w:pPr>
              <w:spacing w:after="0"/>
            </w:pPr>
            <w:r>
              <w:rPr>
                <w:color w:val="212121"/>
                <w:sz w:val="15"/>
              </w:rPr>
              <w:t>Coffee</w:t>
            </w:r>
          </w:p>
        </w:tc>
        <w:tc>
          <w:tcPr>
            <w:tcW w:type="dxa" w:w="1136"/>
            <w:shd w:fill="F7F9FC"/>
            <w:tcMar>
              <w:top w:w="50" w:type="dxa"/>
              <w:bottom w:w="50" w:type="dxa"/>
              <w:left w:w="80" w:type="dxa"/>
              <w:right w:w="80" w:type="dxa"/>
            </w:tcMar>
          </w:tcPr>
          <w:p>
            <w:pPr>
              <w:spacing w:after="0"/>
            </w:pPr>
            <w:r>
              <w:rPr>
                <w:color w:val="212121"/>
                <w:sz w:val="15"/>
              </w:rPr>
              <w:t>Discounters</w:t>
            </w:r>
          </w:p>
        </w:tc>
        <w:tc>
          <w:tcPr>
            <w:tcW w:type="dxa" w:w="1136"/>
            <w:shd w:fill="F7F9FC"/>
            <w:tcMar>
              <w:top w:w="50" w:type="dxa"/>
              <w:bottom w:w="50" w:type="dxa"/>
              <w:left w:w="80" w:type="dxa"/>
              <w:right w:w="80" w:type="dxa"/>
            </w:tcMar>
          </w:tcPr>
          <w:p>
            <w:pPr>
              <w:spacing w:after="0"/>
            </w:pPr>
            <w:r>
              <w:rPr>
                <w:color w:val="212121"/>
                <w:sz w:val="15"/>
              </w:rPr>
              <w:t>2025</w:t>
            </w:r>
          </w:p>
        </w:tc>
        <w:tc>
          <w:tcPr>
            <w:tcW w:type="dxa" w:w="1136"/>
            <w:shd w:fill="F7F9FC"/>
            <w:tcMar>
              <w:top w:w="50" w:type="dxa"/>
              <w:bottom w:w="50" w:type="dxa"/>
              <w:left w:w="80" w:type="dxa"/>
              <w:right w:w="80" w:type="dxa"/>
            </w:tcMar>
          </w:tcPr>
          <w:p>
            <w:pPr>
              <w:spacing w:after="0"/>
            </w:pPr>
            <w:r>
              <w:rPr>
                <w:color w:val="212121"/>
                <w:sz w:val="15"/>
              </w:rPr>
              <w:t>1.8%</w:t>
            </w:r>
          </w:p>
        </w:tc>
        <w:tc>
          <w:tcPr>
            <w:tcW w:type="dxa" w:w="1136"/>
            <w:shd w:fill="F7F9FC"/>
            <w:tcMar>
              <w:top w:w="50" w:type="dxa"/>
              <w:bottom w:w="50" w:type="dxa"/>
              <w:left w:w="80" w:type="dxa"/>
              <w:right w:w="80" w:type="dxa"/>
            </w:tcMar>
          </w:tcPr>
          <w:p>
            <w:pPr>
              <w:spacing w:after="0"/>
            </w:pPr>
            <w:r>
              <w:rPr>
                <w:color w:val="212121"/>
                <w:sz w:val="15"/>
              </w:rPr>
              <w:t>735,187.2</w:t>
            </w:r>
          </w:p>
        </w:tc>
        <w:tc>
          <w:tcPr>
            <w:tcW w:type="dxa" w:w="1136"/>
            <w:shd w:fill="F7F9FC"/>
            <w:tcMar>
              <w:top w:w="50" w:type="dxa"/>
              <w:bottom w:w="50" w:type="dxa"/>
              <w:left w:w="80" w:type="dxa"/>
              <w:right w:w="80" w:type="dxa"/>
            </w:tcMar>
          </w:tcPr>
          <w:p>
            <w:pPr>
              <w:spacing w:after="0"/>
            </w:pPr>
            <w:r>
              <w:rPr>
                <w:color w:val="212121"/>
                <w:sz w:val="15"/>
              </w:rPr>
              <w:t>Tonnes</w:t>
            </w:r>
          </w:p>
        </w:tc>
        <w:tc>
          <w:tcPr>
            <w:tcW w:type="dxa" w:w="1136"/>
            <w:shd w:fill="F7F9FC"/>
            <w:tcMar>
              <w:top w:w="50" w:type="dxa"/>
              <w:bottom w:w="50" w:type="dxa"/>
              <w:left w:w="80" w:type="dxa"/>
              <w:right w:w="80" w:type="dxa"/>
            </w:tcMar>
          </w:tcPr>
          <w:p>
            <w:pPr>
              <w:spacing w:after="0"/>
            </w:pPr>
            <w:r>
              <w:rPr>
                <w:color w:val="212121"/>
                <w:sz w:val="15"/>
              </w:rPr>
              <w:t>13,233.4</w:t>
            </w:r>
          </w:p>
        </w:tc>
      </w:tr>
    </w:tbl>
    <w:p>
      <w:pPr>
        <w:spacing w:after="6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