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0"/>
        <w:jc w:val="center"/>
      </w:pPr>
      <w:r>
        <w:rPr>
          <w:rFonts w:ascii="Arial" w:cs="Arial" w:eastAsia="Arial" w:hAnsi="Arial"/>
          <w:b/>
          <w:bCs/>
          <w:color w:val="C9A84C"/>
          <w:sz w:val="80"/>
          <w:szCs w:val="80"/>
        </w:rPr>
        <w:t xml:space="preserve">UNIUTY</w:t>
      </w:r>
    </w:p>
    <w:p>
      <w:pPr>
        <w:spacing w:after="40" w:before="0"/>
        <w:jc w:val="center"/>
      </w:pPr>
      <w:r>
        <w:rPr>
          <w:rFonts w:ascii="Arial" w:cs="Arial" w:eastAsia="Arial" w:hAnsi="Arial"/>
          <w:color w:val="0A1628"/>
          <w:spacing w:val="120"/>
          <w:sz w:val="30"/>
          <w:szCs w:val="30"/>
        </w:rPr>
        <w:t xml:space="preserve">UNIVERSITY OF UNITY</w:t>
      </w:r>
    </w:p>
    <w:p>
      <w:pPr>
        <w:spacing w:after="0" w:before="240"/>
      </w:pPr>
      <w:r>
        <w:t xml:space="preserve"/>
      </w:r>
    </w:p>
    <w:p>
      <w:pPr>
        <w:pBdr>
          <w:bottom w:val="single" w:color="C9A84C" w:sz="8" w:space="4"/>
        </w:pBdr>
        <w:spacing w:after="160" w:before="0"/>
        <w:jc w:val="center"/>
      </w:pPr>
    </w:p>
    <w:p>
      <w:pPr>
        <w:spacing w:after="0" w:before="160"/>
      </w:pPr>
      <w:r>
        <w:t xml:space="preserve"/>
      </w:r>
    </w:p>
    <w:p>
      <w:pPr>
        <w:spacing w:after="120" w:before="0"/>
        <w:jc w:val="center"/>
      </w:pPr>
      <w:r>
        <w:rPr>
          <w:rFonts w:ascii="Arial" w:cs="Arial" w:eastAsia="Arial" w:hAnsi="Arial"/>
          <w:b/>
          <w:bCs/>
          <w:color w:val="0A1628"/>
          <w:sz w:val="44"/>
          <w:szCs w:val="44"/>
        </w:rPr>
        <w:t xml:space="preserve">Software Requirements Specification</w:t>
      </w:r>
    </w:p>
    <w:p>
      <w:pPr>
        <w:spacing w:after="80" w:before="0"/>
        <w:jc w:val="center"/>
      </w:pPr>
      <w:r>
        <w:rPr>
          <w:rFonts w:ascii="Arial" w:cs="Arial" w:eastAsia="Arial" w:hAnsi="Arial"/>
          <w:color w:val="3D4F6B"/>
          <w:sz w:val="32"/>
          <w:szCs w:val="32"/>
        </w:rPr>
        <w:t xml:space="preserve">University Portal System</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Document No.</w:t>
            </w:r>
          </w:p>
        </w:tc>
        <w:tc>
          <w:tcPr>
            <w:tcW w:type="dxa" w:w="68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color w:val="000000"/>
                <w:sz w:val="21"/>
                <w:szCs w:val="21"/>
              </w:rPr>
              <w:t xml:space="preserve">UNIUTY-ICT-SRS-001</w:t>
            </w:r>
          </w:p>
        </w:tc>
      </w:tr>
      <w:tr>
        <w:tc>
          <w:tcPr>
            <w:tcW w:type="dxa" w:w="2520"/>
            <w:tcBorders>
              <w:top w:val="single" w:color="E2E4E8" w:sz="4"/>
              <w:left w:val="single" w:color="E2E4E8" w:sz="4"/>
              <w:bottom w:val="single" w:color="E2E4E8" w:sz="4"/>
              <w:right w:val="single" w:color="E2E4E8" w:sz="4"/>
            </w:tcBorders>
            <w:shd w:fill="F0EBD8" w:val="clear"/>
            <w:tcMar>
              <w:top w:type="dxa" w:w="80"/>
              <w:left w:type="dxa" w:w="120"/>
              <w:bottom w:type="dxa" w:w="80"/>
              <w:right w:type="dxa" w:w="120"/>
            </w:tcMar>
          </w:tcPr>
          <w:p>
            <w:r>
              <w:rPr>
                <w:rFonts w:ascii="Arial" w:cs="Arial" w:eastAsia="Arial" w:hAnsi="Arial"/>
                <w:b/>
                <w:bCs/>
                <w:color w:val="0A1628"/>
                <w:sz w:val="21"/>
                <w:szCs w:val="21"/>
              </w:rPr>
              <w:t xml:space="preserve">Version</w:t>
            </w:r>
          </w:p>
        </w:tc>
        <w:tc>
          <w:tcPr>
            <w:tcW w:type="dxa" w:w="68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color w:val="000000"/>
                <w:sz w:val="21"/>
                <w:szCs w:val="21"/>
              </w:rPr>
              <w:t xml:space="preserve">1.0 — Initial Release</w:t>
            </w:r>
          </w:p>
        </w:tc>
      </w:tr>
      <w:tr>
        <w:tc>
          <w:tcPr>
            <w:tcW w:type="dxa" w:w="252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Date</w:t>
            </w:r>
          </w:p>
        </w:tc>
        <w:tc>
          <w:tcPr>
            <w:tcW w:type="dxa" w:w="68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color w:val="000000"/>
                <w:sz w:val="21"/>
                <w:szCs w:val="21"/>
              </w:rPr>
              <w:t xml:space="preserve">June 2026</w:t>
            </w:r>
          </w:p>
        </w:tc>
      </w:tr>
      <w:tr>
        <w:tc>
          <w:tcPr>
            <w:tcW w:type="dxa" w:w="2520"/>
            <w:tcBorders>
              <w:top w:val="single" w:color="E2E4E8" w:sz="4"/>
              <w:left w:val="single" w:color="E2E4E8" w:sz="4"/>
              <w:bottom w:val="single" w:color="E2E4E8" w:sz="4"/>
              <w:right w:val="single" w:color="E2E4E8" w:sz="4"/>
            </w:tcBorders>
            <w:shd w:fill="F0EBD8" w:val="clear"/>
            <w:tcMar>
              <w:top w:type="dxa" w:w="80"/>
              <w:left w:type="dxa" w:w="120"/>
              <w:bottom w:type="dxa" w:w="80"/>
              <w:right w:type="dxa" w:w="120"/>
            </w:tcMar>
          </w:tcPr>
          <w:p>
            <w:r>
              <w:rPr>
                <w:rFonts w:ascii="Arial" w:cs="Arial" w:eastAsia="Arial" w:hAnsi="Arial"/>
                <w:b/>
                <w:bCs/>
                <w:color w:val="0A1628"/>
                <w:sz w:val="21"/>
                <w:szCs w:val="21"/>
              </w:rPr>
              <w:t xml:space="preserve">Prepared By</w:t>
            </w:r>
          </w:p>
        </w:tc>
        <w:tc>
          <w:tcPr>
            <w:tcW w:type="dxa" w:w="68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color w:val="000000"/>
                <w:sz w:val="21"/>
                <w:szCs w:val="21"/>
              </w:rPr>
              <w:t xml:space="preserve">ICT Development Unit, UNIUTY</w:t>
            </w:r>
          </w:p>
        </w:tc>
      </w:tr>
      <w:tr>
        <w:tc>
          <w:tcPr>
            <w:tcW w:type="dxa" w:w="252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Reviewed By</w:t>
            </w:r>
          </w:p>
        </w:tc>
        <w:tc>
          <w:tcPr>
            <w:tcW w:type="dxa" w:w="68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color w:val="000000"/>
                <w:sz w:val="21"/>
                <w:szCs w:val="21"/>
              </w:rPr>
              <w:t xml:space="preserve">Director, ICT Infrastructure</w:t>
            </w:r>
          </w:p>
        </w:tc>
      </w:tr>
      <w:tr>
        <w:tc>
          <w:tcPr>
            <w:tcW w:type="dxa" w:w="2520"/>
            <w:tcBorders>
              <w:top w:val="single" w:color="E2E4E8" w:sz="4"/>
              <w:left w:val="single" w:color="E2E4E8" w:sz="4"/>
              <w:bottom w:val="single" w:color="E2E4E8" w:sz="4"/>
              <w:right w:val="single" w:color="E2E4E8" w:sz="4"/>
            </w:tcBorders>
            <w:shd w:fill="F0EBD8" w:val="clear"/>
            <w:tcMar>
              <w:top w:type="dxa" w:w="80"/>
              <w:left w:type="dxa" w:w="120"/>
              <w:bottom w:type="dxa" w:w="80"/>
              <w:right w:type="dxa" w:w="120"/>
            </w:tcMar>
          </w:tcPr>
          <w:p>
            <w:r>
              <w:rPr>
                <w:rFonts w:ascii="Arial" w:cs="Arial" w:eastAsia="Arial" w:hAnsi="Arial"/>
                <w:b/>
                <w:bCs/>
                <w:color w:val="0A1628"/>
                <w:sz w:val="21"/>
                <w:szCs w:val="21"/>
              </w:rPr>
              <w:t xml:space="preserve">Approved By</w:t>
            </w:r>
          </w:p>
        </w:tc>
        <w:tc>
          <w:tcPr>
            <w:tcW w:type="dxa" w:w="68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color w:val="000000"/>
                <w:sz w:val="21"/>
                <w:szCs w:val="21"/>
              </w:rPr>
              <w:t xml:space="preserve">Vice Chancellor</w:t>
            </w:r>
          </w:p>
        </w:tc>
      </w:tr>
      <w:tr>
        <w:tc>
          <w:tcPr>
            <w:tcW w:type="dxa" w:w="252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Status</w:t>
            </w:r>
          </w:p>
        </w:tc>
        <w:tc>
          <w:tcPr>
            <w:tcW w:type="dxa" w:w="68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color w:val="000000"/>
                <w:sz w:val="21"/>
                <w:szCs w:val="21"/>
              </w:rPr>
              <w:t xml:space="preserve">APPROVED — FOR IMPLEMENTATION</w:t>
            </w:r>
          </w:p>
        </w:tc>
      </w:tr>
    </w:tbl>
    <w:p>
      <w:pPr>
        <w:spacing w:after="0" w:before="400"/>
      </w:pPr>
      <w:r>
        <w:t xml:space="preserve"/>
      </w:r>
    </w:p>
    <w:p>
      <w:pPr>
        <w:spacing w:after="40" w:before="0"/>
        <w:jc w:val="center"/>
      </w:pPr>
      <w:r>
        <w:rPr>
          <w:rFonts w:ascii="Arial" w:cs="Arial" w:eastAsia="Arial" w:hAnsi="Arial"/>
          <w:b/>
          <w:bCs/>
          <w:color w:val="B33A3A"/>
          <w:spacing w:val="80"/>
          <w:sz w:val="20"/>
          <w:szCs w:val="20"/>
        </w:rPr>
        <w:t xml:space="preserve">CONFIDENTIAL — FOR INTERNAL USE ONLY</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60" w:before="60"/>
      </w:pPr>
      <w:r>
        <w:rPr>
          <w:rFonts w:ascii="Arial" w:cs="Arial" w:eastAsia="Arial" w:hAnsi="Arial"/>
          <w:color w:val="000000"/>
          <w:sz w:val="22"/>
          <w:szCs w:val="22"/>
        </w:rPr>
        <w:t xml:space="preserve">This Software Requirements Specification (SRS) document defines the complete functional and non-functional requirements for the UNIUTY University Portal system. It serves as the authoritative reference for system design, development, testing, and deployment, providing a shared understanding between the ICT Development Unit, university management, and all stakeholders.</w:t>
      </w:r>
    </w:p>
    <w:p>
      <w:pPr>
        <w:spacing w:after="60" w:before="60"/>
      </w:pPr>
      <w:r>
        <w:rPr>
          <w:rFonts w:ascii="Arial" w:cs="Arial" w:eastAsia="Arial" w:hAnsi="Arial"/>
          <w:color w:val="000000"/>
          <w:sz w:val="22"/>
          <w:szCs w:val="22"/>
        </w:rPr>
        <w:t xml:space="preserve">The portal integrates role-based academic management, biometric identity verification, fee administration, and institutional reporting into a single responsive web platform accessible on desktop PCs and mobile devices.</w:t>
      </w:r>
    </w:p>
    <w:p>
      <w:pPr>
        <w:pStyle w:val="Heading2"/>
      </w:pPr>
      <w:r>
        <w:t xml:space="preserve">1.2 Scope</w:t>
      </w:r>
    </w:p>
    <w:p>
      <w:pPr>
        <w:spacing w:after="60" w:before="60"/>
      </w:pPr>
      <w:r>
        <w:rPr>
          <w:rFonts w:ascii="Arial" w:cs="Arial" w:eastAsia="Arial" w:hAnsi="Arial"/>
          <w:color w:val="000000"/>
          <w:sz w:val="22"/>
          <w:szCs w:val="22"/>
        </w:rPr>
        <w:t xml:space="preserve">The UNIUTY University Portal encompasses the following sub-systems:</w:t>
      </w:r>
    </w:p>
    <w:p>
      <w:pPr>
        <w:pStyle w:val="ListParagraph"/>
        <w:numPr>
          <w:ilvl w:val="0"/>
          <w:numId w:val="2"/>
        </w:numPr>
        <w:spacing w:after="40" w:before="40"/>
      </w:pPr>
      <w:r>
        <w:rPr>
          <w:rFonts w:ascii="Arial" w:cs="Arial" w:eastAsia="Arial" w:hAnsi="Arial"/>
          <w:b w:val="false"/>
          <w:bCs w:val="false"/>
          <w:color w:val="000000"/>
          <w:sz w:val="22"/>
          <w:szCs w:val="22"/>
        </w:rPr>
        <w:t xml:space="preserve">Authentication &amp; Access Control (role-based, biometric-enabled)</w:t>
      </w:r>
    </w:p>
    <w:p>
      <w:pPr>
        <w:pStyle w:val="ListParagraph"/>
        <w:numPr>
          <w:ilvl w:val="0"/>
          <w:numId w:val="2"/>
        </w:numPr>
        <w:spacing w:after="40" w:before="40"/>
      </w:pPr>
      <w:r>
        <w:rPr>
          <w:rFonts w:ascii="Arial" w:cs="Arial" w:eastAsia="Arial" w:hAnsi="Arial"/>
          <w:b w:val="false"/>
          <w:bCs w:val="false"/>
          <w:color w:val="000000"/>
          <w:sz w:val="22"/>
          <w:szCs w:val="22"/>
        </w:rPr>
        <w:t xml:space="preserve">Administrator Portal — system-wide management and oversight</w:t>
      </w:r>
    </w:p>
    <w:p>
      <w:pPr>
        <w:pStyle w:val="ListParagraph"/>
        <w:numPr>
          <w:ilvl w:val="0"/>
          <w:numId w:val="2"/>
        </w:numPr>
        <w:spacing w:after="40" w:before="40"/>
      </w:pPr>
      <w:r>
        <w:rPr>
          <w:rFonts w:ascii="Arial" w:cs="Arial" w:eastAsia="Arial" w:hAnsi="Arial"/>
          <w:b w:val="false"/>
          <w:bCs w:val="false"/>
          <w:color w:val="000000"/>
          <w:sz w:val="22"/>
          <w:szCs w:val="22"/>
        </w:rPr>
        <w:t xml:space="preserve">Vice Chancellor Portal — executive dashboards, approvals, governance</w:t>
      </w:r>
    </w:p>
    <w:p>
      <w:pPr>
        <w:pStyle w:val="ListParagraph"/>
        <w:numPr>
          <w:ilvl w:val="0"/>
          <w:numId w:val="2"/>
        </w:numPr>
        <w:spacing w:after="40" w:before="40"/>
      </w:pPr>
      <w:r>
        <w:rPr>
          <w:rFonts w:ascii="Arial" w:cs="Arial" w:eastAsia="Arial" w:hAnsi="Arial"/>
          <w:b w:val="false"/>
          <w:bCs w:val="false"/>
          <w:color w:val="000000"/>
          <w:sz w:val="22"/>
          <w:szCs w:val="22"/>
        </w:rPr>
        <w:t xml:space="preserve">Lecturer Portal — result submission, attendance, course materials</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 Portal — results, transcript, fees, timetable</w:t>
      </w:r>
    </w:p>
    <w:p>
      <w:pPr>
        <w:pStyle w:val="ListParagraph"/>
        <w:numPr>
          <w:ilvl w:val="0"/>
          <w:numId w:val="2"/>
        </w:numPr>
        <w:spacing w:after="40" w:before="40"/>
      </w:pPr>
      <w:r>
        <w:rPr>
          <w:rFonts w:ascii="Arial" w:cs="Arial" w:eastAsia="Arial" w:hAnsi="Arial"/>
          <w:b w:val="false"/>
          <w:bCs w:val="false"/>
          <w:color w:val="000000"/>
          <w:sz w:val="22"/>
          <w:szCs w:val="22"/>
        </w:rPr>
        <w:t xml:space="preserve">Biometric Hardware Interface — plugin-based API for fingerprint, retina, facial, NFC devices</w:t>
      </w:r>
    </w:p>
    <w:p>
      <w:pPr>
        <w:pStyle w:val="ListParagraph"/>
        <w:numPr>
          <w:ilvl w:val="0"/>
          <w:numId w:val="2"/>
        </w:numPr>
        <w:spacing w:after="40" w:before="40"/>
      </w:pPr>
      <w:r>
        <w:rPr>
          <w:rFonts w:ascii="Arial" w:cs="Arial" w:eastAsia="Arial" w:hAnsi="Arial"/>
          <w:b w:val="false"/>
          <w:bCs w:val="false"/>
          <w:color w:val="000000"/>
          <w:sz w:val="22"/>
          <w:szCs w:val="22"/>
        </w:rPr>
        <w:t xml:space="preserve">Audit &amp; Security Module — full action logging and account recovery</w:t>
      </w:r>
    </w:p>
    <w:p>
      <w:pPr>
        <w:spacing w:after="0" w:before="80"/>
      </w:pPr>
      <w:r>
        <w:t xml:space="preserve"/>
      </w:r>
    </w:p>
    <w:p>
      <w:pPr>
        <w:spacing w:after="60" w:before="60"/>
      </w:pPr>
      <w:r>
        <w:rPr>
          <w:rFonts w:ascii="Arial" w:cs="Arial" w:eastAsia="Arial" w:hAnsi="Arial"/>
          <w:color w:val="000000"/>
          <w:sz w:val="22"/>
          <w:szCs w:val="22"/>
        </w:rPr>
        <w:t xml:space="preserve">Out of scope: physical hardware procurement, network infrastructure, third-party payment provider internals, and the university's legacy ERP system.</w:t>
      </w:r>
    </w:p>
    <w:p>
      <w:pPr>
        <w:pStyle w:val="Heading2"/>
      </w:pPr>
      <w: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Term / Acronym</w:t>
            </w:r>
          </w:p>
        </w:tc>
        <w:tc>
          <w:tcPr>
            <w:tcW w:type="dxa" w:w="720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Definition</w:t>
            </w:r>
          </w:p>
        </w:tc>
      </w:tr>
      <w:tr>
        <w:tc>
          <w:tcPr>
            <w:tcW w:type="dxa" w:w="216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API</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Application Programming Interface — standardised contract for software integration</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Biometric</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Automated recognition using biological characteristics (fingerprint, retina, face)</w:t>
            </w:r>
          </w:p>
        </w:tc>
      </w:tr>
      <w:tr>
        <w:tc>
          <w:tcPr>
            <w:tcW w:type="dxa" w:w="216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CGPA</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Cumulative Grade Point Average — weighted average of all semester GPAs</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FR</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Functional Requirement — system capability or behaviour</w:t>
            </w:r>
          </w:p>
        </w:tc>
      </w:tr>
      <w:tr>
        <w:tc>
          <w:tcPr>
            <w:tcW w:type="dxa" w:w="216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LEC</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Prefix for Lecturer Portal IDs (e.g. LEC-0042)</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NFR</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Non-Functional Requirement — quality attribute (performance, security, etc.)</w:t>
            </w:r>
          </w:p>
        </w:tc>
      </w:tr>
      <w:tr>
        <w:tc>
          <w:tcPr>
            <w:tcW w:type="dxa" w:w="216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NFC</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Near Field Communication — short-range wireless protocol used for card-tap authentication</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OTP</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One-Time Password — time-limited numeric code sent via email or SMS for verification</w:t>
            </w:r>
          </w:p>
        </w:tc>
      </w:tr>
      <w:tr>
        <w:tc>
          <w:tcPr>
            <w:tcW w:type="dxa" w:w="216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Portal ID</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Unique institutional identifier used to log in (format: ADM-NNN, VC-NNN, LEC-NNNN, UNIUTY/YYYY/NNNN)</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SR</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Security Requirement</w:t>
            </w:r>
          </w:p>
        </w:tc>
      </w:tr>
      <w:tr>
        <w:tc>
          <w:tcPr>
            <w:tcW w:type="dxa" w:w="216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SRS</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Software Requirements Specification — this document</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UI</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User Interface</w:t>
            </w:r>
          </w:p>
        </w:tc>
      </w:tr>
      <w:tr>
        <w:tc>
          <w:tcPr>
            <w:tcW w:type="dxa" w:w="2160"/>
            <w:tcBorders>
              <w:top w:val="single" w:color="E2E4E8" w:sz="4"/>
              <w:left w:val="single" w:color="E2E4E8" w:sz="4"/>
              <w:bottom w:val="single" w:color="E2E4E8" w:sz="4"/>
              <w:right w:val="single" w:color="E2E4E8" w:sz="4"/>
            </w:tcBorders>
            <w:shd w:fill="F7F1E3" w:val="clear"/>
            <w:tcMar>
              <w:top w:type="dxa" w:w="80"/>
              <w:left w:type="dxa" w:w="120"/>
              <w:bottom w:type="dxa" w:w="80"/>
              <w:right w:type="dxa" w:w="120"/>
            </w:tcMar>
          </w:tcPr>
          <w:p>
            <w:r>
              <w:rPr>
                <w:rFonts w:ascii="Arial" w:cs="Arial" w:eastAsia="Arial" w:hAnsi="Arial"/>
                <w:b/>
                <w:bCs/>
                <w:color w:val="0A1628"/>
                <w:sz w:val="21"/>
                <w:szCs w:val="21"/>
              </w:rPr>
              <w:t xml:space="preserve">UNIUTY</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University of Unity — the institution this portal serves</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VC</w:t>
            </w:r>
          </w:p>
        </w:tc>
        <w:tc>
          <w:tcPr>
            <w:tcW w:type="dxa" w:w="72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Vice Chancellor; also used as prefix for VC Portal IDs (e.g. VC-001)</w:t>
            </w:r>
          </w:p>
        </w:tc>
      </w:tr>
    </w:tbl>
    <w:p>
      <w:pPr>
        <w:spacing w:after="0" w:before="80"/>
      </w:pPr>
      <w:r>
        <w:t xml:space="preserve"/>
      </w:r>
    </w:p>
    <w:p>
      <w:pPr>
        <w:pStyle w:val="Heading2"/>
      </w:pPr>
      <w:r>
        <w:t xml:space="preserve">1.4 References</w:t>
      </w:r>
    </w:p>
    <w:p>
      <w:pPr>
        <w:pStyle w:val="ListParagraph"/>
        <w:numPr>
          <w:ilvl w:val="0"/>
          <w:numId w:val="2"/>
        </w:numPr>
        <w:spacing w:after="40" w:before="40"/>
      </w:pPr>
      <w:r>
        <w:rPr>
          <w:rFonts w:ascii="Arial" w:cs="Arial" w:eastAsia="Arial" w:hAnsi="Arial"/>
          <w:b w:val="false"/>
          <w:bCs w:val="false"/>
          <w:color w:val="000000"/>
          <w:sz w:val="22"/>
          <w:szCs w:val="22"/>
        </w:rPr>
        <w:t xml:space="preserve">IEEE 830-1998 — IEEE Recommended Practice for Software Requirements Specifications</w:t>
      </w:r>
    </w:p>
    <w:p>
      <w:pPr>
        <w:pStyle w:val="ListParagraph"/>
        <w:numPr>
          <w:ilvl w:val="0"/>
          <w:numId w:val="2"/>
        </w:numPr>
        <w:spacing w:after="40" w:before="40"/>
      </w:pPr>
      <w:r>
        <w:rPr>
          <w:rFonts w:ascii="Arial" w:cs="Arial" w:eastAsia="Arial" w:hAnsi="Arial"/>
          <w:b w:val="false"/>
          <w:bCs w:val="false"/>
          <w:color w:val="000000"/>
          <w:sz w:val="22"/>
          <w:szCs w:val="22"/>
        </w:rPr>
        <w:t xml:space="preserve">NDPR (Nigeria Data Protection Regulation) — biometric data handling requirements</w:t>
      </w:r>
    </w:p>
    <w:p>
      <w:pPr>
        <w:pStyle w:val="ListParagraph"/>
        <w:numPr>
          <w:ilvl w:val="0"/>
          <w:numId w:val="2"/>
        </w:numPr>
        <w:spacing w:after="40" w:before="40"/>
      </w:pPr>
      <w:r>
        <w:rPr>
          <w:rFonts w:ascii="Arial" w:cs="Arial" w:eastAsia="Arial" w:hAnsi="Arial"/>
          <w:b w:val="false"/>
          <w:bCs w:val="false"/>
          <w:color w:val="000000"/>
          <w:sz w:val="22"/>
          <w:szCs w:val="22"/>
        </w:rPr>
        <w:t xml:space="preserve">WCAG 2.1 Level AA — Web Content Accessibility Guidelines</w:t>
      </w:r>
    </w:p>
    <w:p>
      <w:pPr>
        <w:pStyle w:val="ListParagraph"/>
        <w:numPr>
          <w:ilvl w:val="0"/>
          <w:numId w:val="2"/>
        </w:numPr>
        <w:spacing w:after="40" w:before="40"/>
      </w:pPr>
      <w:r>
        <w:rPr>
          <w:rFonts w:ascii="Arial" w:cs="Arial" w:eastAsia="Arial" w:hAnsi="Arial"/>
          <w:b w:val="false"/>
          <w:bCs w:val="false"/>
          <w:color w:val="000000"/>
          <w:sz w:val="22"/>
          <w:szCs w:val="22"/>
        </w:rPr>
        <w:t xml:space="preserve">UNIUTY ICT Policy Framework v3.2 (2025)</w:t>
      </w:r>
    </w:p>
    <w:p>
      <w:pPr>
        <w:pStyle w:val="ListParagraph"/>
        <w:numPr>
          <w:ilvl w:val="0"/>
          <w:numId w:val="2"/>
        </w:numPr>
        <w:spacing w:after="40" w:before="40"/>
      </w:pPr>
      <w:r>
        <w:rPr>
          <w:rFonts w:ascii="Arial" w:cs="Arial" w:eastAsia="Arial" w:hAnsi="Arial"/>
          <w:b w:val="false"/>
          <w:bCs w:val="false"/>
          <w:color w:val="000000"/>
          <w:sz w:val="22"/>
          <w:szCs w:val="22"/>
        </w:rPr>
        <w:t xml:space="preserve">UNIUTY Academic Regulations 2024/2025</w:t>
      </w:r>
    </w:p>
    <w:p>
      <w:pPr>
        <w:pStyle w:val="ListParagraph"/>
        <w:numPr>
          <w:ilvl w:val="0"/>
          <w:numId w:val="2"/>
        </w:numPr>
        <w:spacing w:after="40" w:before="40"/>
      </w:pPr>
      <w:r>
        <w:rPr>
          <w:rFonts w:ascii="Arial" w:cs="Arial" w:eastAsia="Arial" w:hAnsi="Arial"/>
          <w:b w:val="false"/>
          <w:bCs w:val="false"/>
          <w:color w:val="000000"/>
          <w:sz w:val="22"/>
          <w:szCs w:val="22"/>
        </w:rPr>
        <w:t xml:space="preserve">BiometricAPI Hardware Integration Guide v1.0 (js/biometric.js)</w:t>
      </w:r>
    </w:p>
    <w:p>
      <w:pPr>
        <w:pStyle w:val="Heading2"/>
      </w:pPr>
      <w:r>
        <w:t xml:space="preserve">1.5 Document Overview</w:t>
      </w:r>
    </w:p>
    <w:p>
      <w:pPr>
        <w:spacing w:after="60" w:before="60"/>
      </w:pPr>
      <w:r>
        <w:rPr>
          <w:rFonts w:ascii="Arial" w:cs="Arial" w:eastAsia="Arial" w:hAnsi="Arial"/>
          <w:color w:val="000000"/>
          <w:sz w:val="22"/>
          <w:szCs w:val="22"/>
        </w:rPr>
        <w:t xml:space="preserve">Section 2 provides an overall description of the system. Section 3 details all functional requirements organised by module. Section 4 covers non-functional requirements. Section 5 describes external interface requirements. Section 6 defines security requirements. Section 7 specifies the biometric hardware plugin contract. The Appendix contains reference tables.</w:t>
      </w:r>
    </w:p>
    <w:p>
      <w:r>
        <w:br w:type="page"/>
      </w:r>
    </w:p>
    <w:p>
      <w:pPr>
        <w:pStyle w:val="Heading1"/>
      </w:pPr>
      <w:r>
        <w:t xml:space="preserve">2. Overall Description</w:t>
      </w:r>
    </w:p>
    <w:p>
      <w:pPr>
        <w:pStyle w:val="Heading2"/>
      </w:pPr>
      <w:r>
        <w:t xml:space="preserve">2.1 Product Perspective</w:t>
      </w:r>
    </w:p>
    <w:p>
      <w:pPr>
        <w:spacing w:after="60" w:before="60"/>
      </w:pPr>
      <w:r>
        <w:rPr>
          <w:rFonts w:ascii="Arial" w:cs="Arial" w:eastAsia="Arial" w:hAnsi="Arial"/>
          <w:color w:val="000000"/>
          <w:sz w:val="22"/>
          <w:szCs w:val="22"/>
        </w:rPr>
        <w:t xml:space="preserve">The UNIUTY University Portal is a standalone, browser-based web application designed to replace fragmented paper-based and siloed digital processes across the university. It is fully responsive, supporting screen widths from 320 px (smartphone) to 2560 px (4K desktop) without loss of functionality.</w:t>
      </w:r>
    </w:p>
    <w:p>
      <w:pPr>
        <w:spacing w:after="60" w:before="60"/>
      </w:pPr>
      <w:r>
        <w:rPr>
          <w:rFonts w:ascii="Arial" w:cs="Arial" w:eastAsia="Arial" w:hAnsi="Arial"/>
          <w:color w:val="000000"/>
          <w:sz w:val="22"/>
          <w:szCs w:val="22"/>
        </w:rPr>
        <w:t xml:space="preserve">The portal communicates with biometric hardware via a standardised JavaScript plugin API (BiometricAPI), allowing institution-specific device drivers to be integrated without modifying the core portal code. It is designed for deployment on the university's internal network with optional internet access for remote staff and students.</w:t>
      </w:r>
    </w:p>
    <w:p>
      <w:pPr>
        <w:pStyle w:val="Heading2"/>
      </w:pPr>
      <w:r>
        <w:t xml:space="preserve">2.2 Product Functions</w:t>
      </w:r>
    </w:p>
    <w:p>
      <w:pPr>
        <w:spacing w:after="60" w:before="60"/>
      </w:pPr>
      <w:r>
        <w:rPr>
          <w:rFonts w:ascii="Arial" w:cs="Arial" w:eastAsia="Arial" w:hAnsi="Arial"/>
          <w:color w:val="000000"/>
          <w:sz w:val="22"/>
          <w:szCs w:val="22"/>
        </w:rPr>
        <w:t xml:space="preserve">The portal provides the following major functions:</w:t>
      </w:r>
    </w:p>
    <w:p>
      <w:pPr>
        <w:pStyle w:val="ListParagraph"/>
        <w:numPr>
          <w:ilvl w:val="0"/>
          <w:numId w:val="2"/>
        </w:numPr>
        <w:spacing w:after="40" w:before="40"/>
      </w:pPr>
      <w:r>
        <w:rPr>
          <w:rFonts w:ascii="Arial" w:cs="Arial" w:eastAsia="Arial" w:hAnsi="Arial"/>
          <w:b w:val="false"/>
          <w:bCs w:val="false"/>
          <w:color w:val="000000"/>
          <w:sz w:val="22"/>
          <w:szCs w:val="22"/>
        </w:rPr>
        <w:t xml:space="preserve">Role-based access control across four user types (Admin, VC, Lecturer, Student)</w:t>
      </w:r>
    </w:p>
    <w:p>
      <w:pPr>
        <w:pStyle w:val="ListParagraph"/>
        <w:numPr>
          <w:ilvl w:val="0"/>
          <w:numId w:val="2"/>
        </w:numPr>
        <w:spacing w:after="40" w:before="40"/>
      </w:pPr>
      <w:r>
        <w:rPr>
          <w:rFonts w:ascii="Arial" w:cs="Arial" w:eastAsia="Arial" w:hAnsi="Arial"/>
          <w:b w:val="false"/>
          <w:bCs w:val="false"/>
          <w:color w:val="000000"/>
          <w:sz w:val="22"/>
          <w:szCs w:val="22"/>
        </w:rPr>
        <w:t xml:space="preserve">Biometric authentication at login, result submission, and exam hall entry</w:t>
      </w:r>
    </w:p>
    <w:p>
      <w:pPr>
        <w:pStyle w:val="ListParagraph"/>
        <w:numPr>
          <w:ilvl w:val="0"/>
          <w:numId w:val="2"/>
        </w:numPr>
        <w:spacing w:after="40" w:before="40"/>
      </w:pPr>
      <w:r>
        <w:rPr>
          <w:rFonts w:ascii="Arial" w:cs="Arial" w:eastAsia="Arial" w:hAnsi="Arial"/>
          <w:b w:val="false"/>
          <w:bCs w:val="false"/>
          <w:color w:val="000000"/>
          <w:sz w:val="22"/>
          <w:szCs w:val="22"/>
        </w:rPr>
        <w:t xml:space="preserve">Exam result management: submission, verification, publication, and export</w:t>
      </w:r>
    </w:p>
    <w:p>
      <w:pPr>
        <w:pStyle w:val="ListParagraph"/>
        <w:numPr>
          <w:ilvl w:val="0"/>
          <w:numId w:val="2"/>
        </w:numPr>
        <w:spacing w:after="40" w:before="40"/>
      </w:pPr>
      <w:r>
        <w:rPr>
          <w:rFonts w:ascii="Arial" w:cs="Arial" w:eastAsia="Arial" w:hAnsi="Arial"/>
          <w:b w:val="false"/>
          <w:bCs w:val="false"/>
          <w:color w:val="000000"/>
          <w:sz w:val="22"/>
          <w:szCs w:val="22"/>
        </w:rPr>
        <w:t xml:space="preserve">Academic performance dashboards and institutional analytics</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 records: registration, CGPA tracking, transcript generation</w:t>
      </w:r>
    </w:p>
    <w:p>
      <w:pPr>
        <w:pStyle w:val="ListParagraph"/>
        <w:numPr>
          <w:ilvl w:val="0"/>
          <w:numId w:val="2"/>
        </w:numPr>
        <w:spacing w:after="40" w:before="40"/>
      </w:pPr>
      <w:r>
        <w:rPr>
          <w:rFonts w:ascii="Arial" w:cs="Arial" w:eastAsia="Arial" w:hAnsi="Arial"/>
          <w:b w:val="false"/>
          <w:bCs w:val="false"/>
          <w:color w:val="000000"/>
          <w:sz w:val="22"/>
          <w:szCs w:val="22"/>
        </w:rPr>
        <w:t xml:space="preserve">Faculty management: staff profiles, course assignments, result deadlines</w:t>
      </w:r>
    </w:p>
    <w:p>
      <w:pPr>
        <w:pStyle w:val="ListParagraph"/>
        <w:numPr>
          <w:ilvl w:val="0"/>
          <w:numId w:val="2"/>
        </w:numPr>
        <w:spacing w:after="40" w:before="40"/>
      </w:pPr>
      <w:r>
        <w:rPr>
          <w:rFonts w:ascii="Arial" w:cs="Arial" w:eastAsia="Arial" w:hAnsi="Arial"/>
          <w:b w:val="false"/>
          <w:bCs w:val="false"/>
          <w:color w:val="000000"/>
          <w:sz w:val="22"/>
          <w:szCs w:val="22"/>
        </w:rPr>
        <w:t xml:space="preserve">Attendance management with biometric capture (facial, NFC, manual override)</w:t>
      </w:r>
    </w:p>
    <w:p>
      <w:pPr>
        <w:pStyle w:val="ListParagraph"/>
        <w:numPr>
          <w:ilvl w:val="0"/>
          <w:numId w:val="2"/>
        </w:numPr>
        <w:spacing w:after="40" w:before="40"/>
      </w:pPr>
      <w:r>
        <w:rPr>
          <w:rFonts w:ascii="Arial" w:cs="Arial" w:eastAsia="Arial" w:hAnsi="Arial"/>
          <w:b w:val="false"/>
          <w:bCs w:val="false"/>
          <w:color w:val="000000"/>
          <w:sz w:val="22"/>
          <w:szCs w:val="22"/>
        </w:rPr>
        <w:t xml:space="preserve">Fee payment integration (Remita, card) with payment history</w:t>
      </w:r>
    </w:p>
    <w:p>
      <w:pPr>
        <w:pStyle w:val="ListParagraph"/>
        <w:numPr>
          <w:ilvl w:val="0"/>
          <w:numId w:val="2"/>
        </w:numPr>
        <w:spacing w:after="40" w:before="40"/>
      </w:pPr>
      <w:r>
        <w:rPr>
          <w:rFonts w:ascii="Arial" w:cs="Arial" w:eastAsia="Arial" w:hAnsi="Arial"/>
          <w:b w:val="false"/>
          <w:bCs w:val="false"/>
          <w:color w:val="000000"/>
          <w:sz w:val="22"/>
          <w:szCs w:val="22"/>
        </w:rPr>
        <w:t xml:space="preserve">Admissions management: applications, admission, offer acceptance</w:t>
      </w:r>
    </w:p>
    <w:p>
      <w:pPr>
        <w:pStyle w:val="ListParagraph"/>
        <w:numPr>
          <w:ilvl w:val="0"/>
          <w:numId w:val="2"/>
        </w:numPr>
        <w:spacing w:after="40" w:before="40"/>
      </w:pPr>
      <w:r>
        <w:rPr>
          <w:rFonts w:ascii="Arial" w:cs="Arial" w:eastAsia="Arial" w:hAnsi="Arial"/>
          <w:b w:val="false"/>
          <w:bCs w:val="false"/>
          <w:color w:val="000000"/>
          <w:sz w:val="22"/>
          <w:szCs w:val="22"/>
        </w:rPr>
        <w:t xml:space="preserve">Security &amp; audit: full action log, account lockout, role change audit trail</w:t>
      </w:r>
    </w:p>
    <w:p>
      <w:pPr>
        <w:pStyle w:val="ListParagraph"/>
        <w:numPr>
          <w:ilvl w:val="0"/>
          <w:numId w:val="2"/>
        </w:numPr>
        <w:spacing w:after="40" w:before="40"/>
      </w:pPr>
      <w:r>
        <w:rPr>
          <w:rFonts w:ascii="Arial" w:cs="Arial" w:eastAsia="Arial" w:hAnsi="Arial"/>
          <w:b w:val="false"/>
          <w:bCs w:val="false"/>
          <w:color w:val="000000"/>
          <w:sz w:val="22"/>
          <w:szCs w:val="22"/>
        </w:rPr>
        <w:t xml:space="preserve">Password recovery with role-specific multi-factor verification</w:t>
      </w:r>
    </w:p>
    <w:p>
      <w:pPr>
        <w:pStyle w:val="Heading2"/>
      </w:pPr>
      <w:r>
        <w:t xml:space="preserve">2.3 User Classes and Characteristics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User Class</w:t>
            </w:r>
          </w:p>
        </w:tc>
        <w:tc>
          <w:tcPr>
            <w:tcW w:type="dxa" w:w="25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Portal ID Format</w:t>
            </w:r>
          </w:p>
        </w:tc>
        <w:tc>
          <w:tcPr>
            <w:tcW w:type="dxa" w:w="25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Privileges</w:t>
            </w:r>
          </w:p>
        </w:tc>
        <w:tc>
          <w:tcPr>
            <w:tcW w:type="dxa" w:w="25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Technical Level</w:t>
            </w:r>
          </w:p>
        </w:tc>
      </w:tr>
      <w:tr>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0"/>
                <w:szCs w:val="20"/>
              </w:rPr>
              <w:t xml:space="preserve">Administrator</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0"/>
                <w:szCs w:val="20"/>
              </w:rPr>
              <w:t xml:space="preserve">ADM-NNN</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0"/>
                <w:szCs w:val="20"/>
              </w:rPr>
              <w:t xml:space="preserve">Full system access; user management; settings; promotions</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0"/>
                <w:szCs w:val="20"/>
              </w:rPr>
              <w:t xml:space="preserve">Vice Chancellor</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0"/>
                <w:szCs w:val="20"/>
              </w:rPr>
              <w:t xml:space="preserve">VC-NNN</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0"/>
                <w:szCs w:val="20"/>
              </w:rPr>
              <w:t xml:space="preserve">Read-only analytics; approvals queue; senate reports</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0"/>
                <w:szCs w:val="20"/>
              </w:rPr>
              <w:t xml:space="preserve">Lecturer</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0"/>
                <w:szCs w:val="20"/>
              </w:rPr>
              <w:t xml:space="preserve">LEC-NNNN</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0"/>
                <w:szCs w:val="20"/>
              </w:rPr>
              <w:t xml:space="preserve">Post/view results; manage attendance; upload materials</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0"/>
                <w:szCs w:val="20"/>
              </w:rPr>
              <w:t xml:space="preserve">Student</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0"/>
                <w:szCs w:val="20"/>
              </w:rPr>
              <w:t xml:space="preserve">UNIUTY/YYYY/NNNN</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0"/>
                <w:szCs w:val="20"/>
              </w:rPr>
              <w:t xml:space="preserve">View results/transcript; fees; timetable; messages</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0"/>
                <w:szCs w:val="20"/>
              </w:rPr>
              <w:t xml:space="preserve">Low</w:t>
            </w:r>
          </w:p>
        </w:tc>
      </w:tr>
    </w:tbl>
    <w:p>
      <w:pPr>
        <w:spacing w:after="0" w:before="80"/>
      </w:pPr>
      <w:r>
        <w:t xml:space="preserve"/>
      </w:r>
    </w:p>
    <w:p>
      <w:pPr>
        <w:pStyle w:val="Heading2"/>
      </w:pPr>
      <w:r>
        <w:t xml:space="preserve">2.4 Operating Environment</w:t>
      </w:r>
    </w:p>
    <w:p>
      <w:pPr>
        <w:pStyle w:val="ListParagraph"/>
        <w:numPr>
          <w:ilvl w:val="0"/>
          <w:numId w:val="2"/>
        </w:numPr>
        <w:spacing w:after="40" w:before="40"/>
      </w:pPr>
      <w:r>
        <w:rPr>
          <w:rFonts w:ascii="Arial" w:cs="Arial" w:eastAsia="Arial" w:hAnsi="Arial"/>
          <w:b w:val="false"/>
          <w:bCs w:val="false"/>
          <w:color w:val="000000"/>
          <w:sz w:val="22"/>
          <w:szCs w:val="22"/>
        </w:rPr>
        <w:t xml:space="preserve">Client: Any modern web browser (Chrome 90+, Firefox 88+, Safari 14+, Edge 90+)</w:t>
      </w:r>
    </w:p>
    <w:p>
      <w:pPr>
        <w:pStyle w:val="ListParagraph"/>
        <w:numPr>
          <w:ilvl w:val="0"/>
          <w:numId w:val="2"/>
        </w:numPr>
        <w:spacing w:after="40" w:before="40"/>
      </w:pPr>
      <w:r>
        <w:rPr>
          <w:rFonts w:ascii="Arial" w:cs="Arial" w:eastAsia="Arial" w:hAnsi="Arial"/>
          <w:b w:val="false"/>
          <w:bCs w:val="false"/>
          <w:color w:val="000000"/>
          <w:sz w:val="22"/>
          <w:szCs w:val="22"/>
        </w:rPr>
        <w:t xml:space="preserve">Mobile: iOS 14+, Android 10+ via responsive layout (no app installation required)</w:t>
      </w:r>
    </w:p>
    <w:p>
      <w:pPr>
        <w:pStyle w:val="ListParagraph"/>
        <w:numPr>
          <w:ilvl w:val="0"/>
          <w:numId w:val="2"/>
        </w:numPr>
        <w:spacing w:after="40" w:before="40"/>
      </w:pPr>
      <w:r>
        <w:rPr>
          <w:rFonts w:ascii="Arial" w:cs="Arial" w:eastAsia="Arial" w:hAnsi="Arial"/>
          <w:b w:val="false"/>
          <w:bCs w:val="false"/>
          <w:color w:val="000000"/>
          <w:sz w:val="22"/>
          <w:szCs w:val="22"/>
        </w:rPr>
        <w:t xml:space="preserve">Server: Node.js / NGINX reverse proxy (or static file hosting for frontend-only mode)</w:t>
      </w:r>
    </w:p>
    <w:p>
      <w:pPr>
        <w:pStyle w:val="ListParagraph"/>
        <w:numPr>
          <w:ilvl w:val="0"/>
          <w:numId w:val="2"/>
        </w:numPr>
        <w:spacing w:after="40" w:before="40"/>
      </w:pPr>
      <w:r>
        <w:rPr>
          <w:rFonts w:ascii="Arial" w:cs="Arial" w:eastAsia="Arial" w:hAnsi="Arial"/>
          <w:b w:val="false"/>
          <w:bCs w:val="false"/>
          <w:color w:val="000000"/>
          <w:sz w:val="22"/>
          <w:szCs w:val="22"/>
        </w:rPr>
        <w:t xml:space="preserve">Biometric hardware: USB or network-connected devices compatible with ZKTeco SDK, Hikvision SDK, or ACR122U NFC library — integrated via BiometricAPI plugin</w:t>
      </w:r>
    </w:p>
    <w:p>
      <w:pPr>
        <w:pStyle w:val="ListParagraph"/>
        <w:numPr>
          <w:ilvl w:val="0"/>
          <w:numId w:val="2"/>
        </w:numPr>
        <w:spacing w:after="40" w:before="40"/>
      </w:pPr>
      <w:r>
        <w:rPr>
          <w:rFonts w:ascii="Arial" w:cs="Arial" w:eastAsia="Arial" w:hAnsi="Arial"/>
          <w:b w:val="false"/>
          <w:bCs w:val="false"/>
          <w:color w:val="000000"/>
          <w:sz w:val="22"/>
          <w:szCs w:val="22"/>
        </w:rPr>
        <w:t xml:space="preserve">Minimum screen resolution: 320 px × 568 px</w:t>
      </w:r>
    </w:p>
    <w:p>
      <w:pPr>
        <w:pStyle w:val="Heading2"/>
      </w:pPr>
      <w:r>
        <w:t xml:space="preserve">2.5 Design Constraints</w:t>
      </w:r>
    </w:p>
    <w:p>
      <w:pPr>
        <w:pStyle w:val="ListParagraph"/>
        <w:numPr>
          <w:ilvl w:val="0"/>
          <w:numId w:val="2"/>
        </w:numPr>
        <w:spacing w:after="40" w:before="40"/>
      </w:pPr>
      <w:r>
        <w:rPr>
          <w:rFonts w:ascii="Arial" w:cs="Arial" w:eastAsia="Arial" w:hAnsi="Arial"/>
          <w:b w:val="false"/>
          <w:bCs w:val="false"/>
          <w:color w:val="000000"/>
          <w:sz w:val="22"/>
          <w:szCs w:val="22"/>
        </w:rPr>
        <w:t xml:space="preserve">All pages must load within 2 seconds on a 10 Mbps connection</w:t>
      </w:r>
    </w:p>
    <w:p>
      <w:pPr>
        <w:pStyle w:val="ListParagraph"/>
        <w:numPr>
          <w:ilvl w:val="0"/>
          <w:numId w:val="2"/>
        </w:numPr>
        <w:spacing w:after="40" w:before="40"/>
      </w:pPr>
      <w:r>
        <w:rPr>
          <w:rFonts w:ascii="Arial" w:cs="Arial" w:eastAsia="Arial" w:hAnsi="Arial"/>
          <w:b w:val="false"/>
          <w:bCs w:val="false"/>
          <w:color w:val="000000"/>
          <w:sz w:val="22"/>
          <w:szCs w:val="22"/>
        </w:rPr>
        <w:t xml:space="preserve">Biometric templates must never be transmitted in plaintext</w:t>
      </w:r>
    </w:p>
    <w:p>
      <w:pPr>
        <w:pStyle w:val="ListParagraph"/>
        <w:numPr>
          <w:ilvl w:val="0"/>
          <w:numId w:val="2"/>
        </w:numPr>
        <w:spacing w:after="40" w:before="40"/>
      </w:pPr>
      <w:r>
        <w:rPr>
          <w:rFonts w:ascii="Arial" w:cs="Arial" w:eastAsia="Arial" w:hAnsi="Arial"/>
          <w:b w:val="false"/>
          <w:bCs w:val="false"/>
          <w:color w:val="000000"/>
          <w:sz w:val="22"/>
          <w:szCs w:val="22"/>
        </w:rPr>
        <w:t xml:space="preserve">The portal must function without biometric hardware (simulation/password fallback)</w:t>
      </w:r>
    </w:p>
    <w:p>
      <w:pPr>
        <w:pStyle w:val="ListParagraph"/>
        <w:numPr>
          <w:ilvl w:val="0"/>
          <w:numId w:val="2"/>
        </w:numPr>
        <w:spacing w:after="40" w:before="40"/>
      </w:pPr>
      <w:r>
        <w:rPr>
          <w:rFonts w:ascii="Arial" w:cs="Arial" w:eastAsia="Arial" w:hAnsi="Arial"/>
          <w:b w:val="false"/>
          <w:bCs w:val="false"/>
          <w:color w:val="000000"/>
          <w:sz w:val="22"/>
          <w:szCs w:val="22"/>
        </w:rPr>
        <w:t xml:space="preserve">The colour scheme (Navy #0A1628, Gold #C9A84C) is a brand requirement and cannot be changed without VC approval</w:t>
      </w:r>
    </w:p>
    <w:p>
      <w:pPr>
        <w:pStyle w:val="ListParagraph"/>
        <w:numPr>
          <w:ilvl w:val="0"/>
          <w:numId w:val="2"/>
        </w:numPr>
        <w:spacing w:after="40" w:before="40"/>
      </w:pPr>
      <w:r>
        <w:rPr>
          <w:rFonts w:ascii="Arial" w:cs="Arial" w:eastAsia="Arial" w:hAnsi="Arial"/>
          <w:b w:val="false"/>
          <w:bCs w:val="false"/>
          <w:color w:val="000000"/>
          <w:sz w:val="22"/>
          <w:szCs w:val="22"/>
        </w:rPr>
        <w:t xml:space="preserve">All authentication events must generate an immutable audit log entry</w:t>
      </w:r>
    </w:p>
    <w:p>
      <w:pPr>
        <w:pStyle w:val="Heading2"/>
      </w:pPr>
      <w:r>
        <w:t xml:space="preserve">2.6 Assumptions and Dependencies</w:t>
      </w:r>
    </w:p>
    <w:p>
      <w:pPr>
        <w:pStyle w:val="ListParagraph"/>
        <w:numPr>
          <w:ilvl w:val="0"/>
          <w:numId w:val="2"/>
        </w:numPr>
        <w:spacing w:after="40" w:before="40"/>
      </w:pPr>
      <w:r>
        <w:rPr>
          <w:rFonts w:ascii="Arial" w:cs="Arial" w:eastAsia="Arial" w:hAnsi="Arial"/>
          <w:b w:val="false"/>
          <w:bCs w:val="false"/>
          <w:color w:val="000000"/>
          <w:sz w:val="22"/>
          <w:szCs w:val="22"/>
        </w:rPr>
        <w:t xml:space="preserve">Each user has a valid institutional email address on file</w:t>
      </w:r>
    </w:p>
    <w:p>
      <w:pPr>
        <w:pStyle w:val="ListParagraph"/>
        <w:numPr>
          <w:ilvl w:val="0"/>
          <w:numId w:val="2"/>
        </w:numPr>
        <w:spacing w:after="40" w:before="40"/>
      </w:pPr>
      <w:r>
        <w:rPr>
          <w:rFonts w:ascii="Arial" w:cs="Arial" w:eastAsia="Arial" w:hAnsi="Arial"/>
          <w:b w:val="false"/>
          <w:bCs w:val="false"/>
          <w:color w:val="000000"/>
          <w:sz w:val="22"/>
          <w:szCs w:val="22"/>
        </w:rPr>
        <w:t xml:space="preserve">The institution's SMTP server is accessible for OTP delivery</w:t>
      </w:r>
    </w:p>
    <w:p>
      <w:pPr>
        <w:pStyle w:val="ListParagraph"/>
        <w:numPr>
          <w:ilvl w:val="0"/>
          <w:numId w:val="2"/>
        </w:numPr>
        <w:spacing w:after="40" w:before="40"/>
      </w:pPr>
      <w:r>
        <w:rPr>
          <w:rFonts w:ascii="Arial" w:cs="Arial" w:eastAsia="Arial" w:hAnsi="Arial"/>
          <w:b w:val="false"/>
          <w:bCs w:val="false"/>
          <w:color w:val="000000"/>
          <w:sz w:val="22"/>
          <w:szCs w:val="22"/>
        </w:rPr>
        <w:t xml:space="preserve">Biometric hardware is physically installed and networked at relevant campus locations</w:t>
      </w:r>
    </w:p>
    <w:p>
      <w:pPr>
        <w:pStyle w:val="ListParagraph"/>
        <w:numPr>
          <w:ilvl w:val="0"/>
          <w:numId w:val="2"/>
        </w:numPr>
        <w:spacing w:after="40" w:before="40"/>
      </w:pPr>
      <w:r>
        <w:rPr>
          <w:rFonts w:ascii="Arial" w:cs="Arial" w:eastAsia="Arial" w:hAnsi="Arial"/>
          <w:b w:val="false"/>
          <w:bCs w:val="false"/>
          <w:color w:val="000000"/>
          <w:sz w:val="22"/>
          <w:szCs w:val="22"/>
        </w:rPr>
        <w:t xml:space="preserve">Internet access is available for Google Fonts (DM Sans, Playfair Display) — a self-hosted fallback must be provided for offline deployment</w:t>
      </w:r>
    </w:p>
    <w:p>
      <w:pPr>
        <w:pStyle w:val="ListParagraph"/>
        <w:numPr>
          <w:ilvl w:val="0"/>
          <w:numId w:val="2"/>
        </w:numPr>
        <w:spacing w:after="40" w:before="40"/>
      </w:pPr>
      <w:r>
        <w:rPr>
          <w:rFonts w:ascii="Arial" w:cs="Arial" w:eastAsia="Arial" w:hAnsi="Arial"/>
          <w:b w:val="false"/>
          <w:bCs w:val="false"/>
          <w:color w:val="000000"/>
          <w:sz w:val="22"/>
          <w:szCs w:val="22"/>
        </w:rPr>
        <w:t xml:space="preserve">The Remita/Flutterwave payment gateway agreements are in place before enabling fee payment</w:t>
      </w:r>
    </w:p>
    <w:p>
      <w:r>
        <w:br w:type="page"/>
      </w:r>
    </w:p>
    <w:p>
      <w:pPr>
        <w:pStyle w:val="Heading1"/>
      </w:pPr>
      <w:r>
        <w:t xml:space="preserve">3. System Features and Functional Requirements</w:t>
      </w:r>
    </w:p>
    <w:p>
      <w:pPr>
        <w:pStyle w:val="Heading2"/>
      </w:pPr>
      <w:r>
        <w:t xml:space="preserve">3.1 Authentication System (FR-AUTH)</w:t>
      </w:r>
    </w:p>
    <w:p>
      <w:pPr>
        <w:spacing w:after="60" w:before="60"/>
      </w:pPr>
      <w:r>
        <w:rPr>
          <w:rFonts w:ascii="Arial" w:cs="Arial" w:eastAsia="Arial" w:hAnsi="Arial"/>
          <w:color w:val="000000"/>
          <w:sz w:val="22"/>
          <w:szCs w:val="22"/>
        </w:rPr>
        <w:t xml:space="preserve">The authentication system controls all access to the portal. It must support both credential-based and biometric login paths, enforce lockout policies, and provide role-specific account recovery.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rPr>
          <w:tblHeader/>
        </w:trPr>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Req. ID</w:t>
            </w:r>
          </w:p>
        </w:tc>
        <w:tc>
          <w:tcPr>
            <w:tcW w:type="dxa" w:w="50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Priority</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Status</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FR-AUTH-01</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auto-detect the user's role from the Portal ID prefix typed in the username field (ADM = Administrator, VC = Vice Chancellor, LEC = Lecturer, UNIUTY = Student) and display a confirmed role chip with the appropriate icon before login.</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FR-AUTH-02</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validate username and password against the registered account store. After 3 consecutive failed attempts, the login button shall be disabled for 30 seconds and a warning displayed.</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FR-AUTH-03</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support biometric login via the BiometricAPI (fingerprint, retina scan, facial recognition, NFC card). Biometric login shall be available as an alternative to password-based login.</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FR-AUTH-04</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provide role-specific password recovery: (a) Admin — security question + email OTP + biometric re-verification; (b) VC — email OTP + Senate Registrar auto-notification; (c) Lecturer — email OTP + HoD alert; (d) Student — email OTP only. All recovery actions are audit-logged.</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FR-AUTH-05</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log every login attempt (success and failure) with timestamp, username, IP address, method (password/biometric), and outcome.</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FR-AUTH-06</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All portal sessions shall expire after 8 hours of inactivity, requiring re-authentication.</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8a6a1a"/>
                <w:sz w:val="21"/>
                <w:szCs w:val="21"/>
              </w:rPr>
              <w:t xml:space="preserve">Medium</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FR-AUTH-07</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Password complexity requirements: minimum 8 characters, at least one uppercase letter, one digit, and one special character. Complexity indicator shall be shown during password reset.</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bl>
    <w:p>
      <w:pPr>
        <w:spacing w:after="0" w:before="80"/>
      </w:pPr>
      <w:r>
        <w:t xml:space="preserve"/>
      </w:r>
    </w:p>
    <w:p>
      <w:pPr>
        <w:pStyle w:val="Heading2"/>
      </w:pPr>
      <w:r>
        <w:t xml:space="preserve">3.2 Biometric System (FR-BIO)</w:t>
      </w:r>
    </w:p>
    <w:p>
      <w:pPr>
        <w:spacing w:after="60" w:before="60"/>
      </w:pPr>
      <w:r>
        <w:rPr>
          <w:rFonts w:ascii="Arial" w:cs="Arial" w:eastAsia="Arial" w:hAnsi="Arial"/>
          <w:color w:val="000000"/>
          <w:sz w:val="22"/>
          <w:szCs w:val="22"/>
        </w:rPr>
        <w:t xml:space="preserve">The biometric system provides a hardware-agnostic plugin interface. The portal ships with a simulation layer enabling development and testing without physical hardware. Hardware plugins are registered at startup.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rPr>
          <w:tblHeader/>
        </w:trPr>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Req. ID</w:t>
            </w:r>
          </w:p>
        </w:tc>
        <w:tc>
          <w:tcPr>
            <w:tcW w:type="dxa" w:w="50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Priority</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Status</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FR-BIO-01</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expose a BiometricAPI object with register(method, plugin), scan(method, userId), enroll(method, userId), and delete(method, userId) methods to standardise hardware integration.</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FR-BIO-02</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include a built-in simulation mode that returns randomised (90% success) scan results when no hardware plugin is registered, enabling offline development and demonstration.</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FR-BIO-03</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support fingerprint scanner hardware via a registered plugin implementing the BiometricAPI plugin contract (init, scan, enroll, delete).</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FR-BIO-04</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support retina scanner hardware via a registered plugin.</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FR-BIO-05</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support facial recognition cameras via a registered plugin.</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FR-BIO-06</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support NFC card readers via a registered plugin.</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FR-BIO-07</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Every biometric event (scan attempt, enroll, delete) shall be appended to an in-memory audit trail accessible via BiometricAPI.getAuditTrail(), including timestamp, method, userId, location, and result.</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FR-BIO-08</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The system shall flag repeated biometric failures (3+ in 10 minutes) as a security event, display an alert to Administrators, and log the event with location data.</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FR-BIO-09</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Lecturers must complete a successful biometric scan before submitting exam results. The submit button shall remain disabled until biometric verification is confirmed.</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bl>
    <w:p>
      <w:pPr>
        <w:spacing w:after="0" w:before="80"/>
      </w:pPr>
      <w:r>
        <w:t xml:space="preserve"/>
      </w:r>
    </w:p>
    <w:p>
      <w:pPr>
        <w:pStyle w:val="Heading2"/>
      </w:pPr>
      <w:r>
        <w:t xml:space="preserve">3.3 Administrator Module (FR-ADMIN)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rPr>
          <w:tblHeader/>
        </w:trPr>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Req. ID</w:t>
            </w:r>
          </w:p>
        </w:tc>
        <w:tc>
          <w:tcPr>
            <w:tcW w:type="dxa" w:w="50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Priority</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Status</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FR-ADMIN-01</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Dashboard: Display real-time KPIs — total students, academic staff count, results posted percentage, biometric verifications today, and pending action counts.</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FR-ADMIN-02</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Exam Results: View, search, filter, and export all university-wide exam results. Display grade distribution and department submission status.</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FR-ADMIN-03</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Student Management: View, search, add, suspend, and view profiles of all registered students. Filter by department, level, fee status, and biometric enrolment.</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FR-ADMIN-04</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Faculty Management: View, add, and manage academic staff records including title, department, course assignments, and biometric status.</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FR-ADMIN-05</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Course Registry: Maintain the list of courses — add, assign lecturers, view enrolment, and check result submission status.</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FR-ADMIN-06</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Timetable: View and publish lecture and examination timetables per department. Send timetable to students with a single action.</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8a6a1a"/>
                <w:sz w:val="21"/>
                <w:szCs w:val="21"/>
              </w:rPr>
              <w:t xml:space="preserve">Medium</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FR-ADMIN-07</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Admissions: Manage incoming student applications — admit, reject, or request appeal. View application statistics and issue status.</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FR-ADMIN-08</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Reports: Generate and download academic, biometric, fee, attendance, and admissions reports in PDF and Excel formats.</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FR-ADMIN-09</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System Settings: Configure academic session, result deadlines, biometric policy toggles, email/SMTP settings, and grading scale.</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FR-ADMIN-10</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User Management: Create, edit, lock, and manage all portal accounts. Promote VC accounts to Administrator with biometric co-authorisation and full audit logging. View last login, biometric status, and account state for all users.</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bl>
    <w:p>
      <w:pPr>
        <w:spacing w:after="0" w:before="80"/>
      </w:pPr>
      <w:r>
        <w:t xml:space="preserve"/>
      </w:r>
    </w:p>
    <w:p>
      <w:pPr>
        <w:pStyle w:val="Heading2"/>
      </w:pPr>
      <w:r>
        <w:t xml:space="preserve">3.4 Vice Chancellor Module (FR-VC)</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rPr>
          <w:tblHeader/>
        </w:trPr>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Req. ID</w:t>
            </w:r>
          </w:p>
        </w:tc>
        <w:tc>
          <w:tcPr>
            <w:tcW w:type="dxa" w:w="50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Priority</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Status</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FR-VC-01</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University Overview Dashboard: Display institution-wide KPIs — total students, staff count, pass rate, first class percentage, and fee revenue.</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FR-VC-02</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Academic Performance: View grade distribution charts, pass rate trends, top-performing students, and honours classification breakdown.</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FR-VC-03</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Departments: View all 14 academic departments with student/staff counts and pass rate visualisations.</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FR-VC-04</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Students &amp; Staff: View population statistics, staff-student ratios, and admissions growth trends.</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8a6a1a"/>
                <w:sz w:val="21"/>
                <w:szCs w:val="21"/>
              </w:rPr>
              <w:t xml:space="preserve">Medium</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FR-VC-05</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Biometric Reports: Read-only overview of biometric verification statistics, method breakdown, security flags, and daily log.</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FR-VC-06</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Approvals Queue: Review and approve or decline pending items — result corrections, new appointments, budget requests, curriculum changes, senate reports.</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FR-VC-07</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Senate Reports and Audit Trail: Access institutional reports and system audit logs (read-only).</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8a6a1a"/>
                <w:sz w:val="21"/>
                <w:szCs w:val="21"/>
              </w:rPr>
              <w:t xml:space="preserve">Medium</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bl>
    <w:p>
      <w:pPr>
        <w:spacing w:after="0" w:before="80"/>
      </w:pPr>
      <w:r>
        <w:t xml:space="preserve"/>
      </w:r>
    </w:p>
    <w:p>
      <w:pPr>
        <w:pStyle w:val="Heading2"/>
      </w:pPr>
      <w:r>
        <w:t xml:space="preserve">3.5 Lecturer Module (FR-LEC)</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rPr>
          <w:tblHeader/>
        </w:trPr>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Req. ID</w:t>
            </w:r>
          </w:p>
        </w:tc>
        <w:tc>
          <w:tcPr>
            <w:tcW w:type="dxa" w:w="50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Priority</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Status</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FR-LEC-01</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Dashboard: Display active courses, pending result counts, average scores, pass rates, today's schedule, and upcoming deadlines.</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FR-LEC-02</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Post Exam Results: Enter CA and exam scores per student for each assigned course. Live grade calculation with grading scale reference. Submit requires biometric verification.</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FR-LEC-03</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Attendance Management: View biometric-captured attendance records per course. Mark attendance manually or initiate biometric capture. View at-risk student reports.</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FR-LEC-04</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Course Materials: Upload, manage, and track downloads of lecture notes, slides, and resources per course.</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8a6a1a"/>
                <w:sz w:val="21"/>
                <w:szCs w:val="21"/>
              </w:rPr>
              <w:t xml:space="preserve">Medium</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FR-LEC-05</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Messages: Inbox for communications from administration, students, and the registrar.</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8a6a1a"/>
                <w:sz w:val="21"/>
                <w:szCs w:val="21"/>
              </w:rPr>
              <w:t xml:space="preserve">Medium</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FR-LEC-06</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All result submissions must be biometrically signed. The system must record the lecturer's biometric verification timestamp alongside each submission event in the audit log.</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bl>
    <w:p>
      <w:pPr>
        <w:spacing w:after="0" w:before="80"/>
      </w:pPr>
      <w:r>
        <w:t xml:space="preserve"/>
      </w:r>
    </w:p>
    <w:p>
      <w:pPr>
        <w:pStyle w:val="Heading2"/>
      </w:pPr>
      <w:r>
        <w:t xml:space="preserve">3.6 Student Module (FR-STU)</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rPr>
          <w:tblHeader/>
        </w:trPr>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Req. ID</w:t>
            </w:r>
          </w:p>
        </w:tc>
        <w:tc>
          <w:tcPr>
            <w:tcW w:type="dxa" w:w="50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Priority</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Status</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FR-STU-01</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Dashboard: Display current CGPA, registered courses, units earned, attendance percentage, recent results, and today's timetable.</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FR-STU-02</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My Results: View current semester results with scores, grades, grade points, and GPA. Filter by semester/session. Pending results clearly indicated.</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FR-STU-03</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Transcript: View full academic transcript across all semesters with per-semester GPA and cumulative GPA. Download official transcript PDF (requires biometric).</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FR-STU-04</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Courses &amp; Schedule: View registered courses with lecturer details, credit units, weekly timetable, and upcoming exam dates.</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FR-STU-05</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Fee Payment: View itemised fee breakdown with payment status, outstanding balance, payment history, and make payments via Remita or card through the payment gateway.</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FR-STU-06</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Biometric Profile: View enrolled biometric methods, test-scan each method, and view personal biometric use log with timestamps, purpose, and location.</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8a6a1a"/>
                <w:sz w:val="21"/>
                <w:szCs w:val="21"/>
              </w:rPr>
              <w:t xml:space="preserve">Medium</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FR-STU-07</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Messages &amp; Help: Inbox for communications from lecturers, admin, and the registrar. FAQ and contact channels for support (email, phone, live chat).</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8a6a1a"/>
                <w:sz w:val="21"/>
                <w:szCs w:val="21"/>
              </w:rPr>
              <w:t xml:space="preserve">Medium</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bl>
    <w:p>
      <w:pPr>
        <w:spacing w:after="0" w:before="80"/>
      </w:pPr>
      <w:r>
        <w:t xml:space="preserve"/>
      </w:r>
    </w:p>
    <w:p>
      <w:pPr>
        <w:pStyle w:val="Heading2"/>
      </w:pPr>
      <w:r>
        <w:t xml:space="preserve">3.7 Role Management (FR-ROLE)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rPr>
          <w:tblHeader/>
        </w:trPr>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Req. ID</w:t>
            </w:r>
          </w:p>
        </w:tc>
        <w:tc>
          <w:tcPr>
            <w:tcW w:type="dxa" w:w="50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Priority</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Status</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FR-ROLE-01</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An Administrator may promote a Vice Chancellor account to Administrator role (or any other elevated role). The promotion action requires: (a) selection of the target VC account; (b) confirmation dialog showing the privilege change; (c) a successful biometric scan from the authorising Administrator; and (d) the change is applied and audit-logged.</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FR-ROLE-02</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All role change events must generate an immutable audit log entry containing: timestamp, target user ID, previous role, new role, authorising Admin ID, and biometric verification status.</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FR-ROLE-03</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 role demotion (Admin to VC) shall require the same biometric confirmation process as promotion.</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bl>
    <w:p>
      <w:r>
        <w:br w:type="page"/>
      </w:r>
    </w:p>
    <w:p>
      <w:pPr>
        <w:pStyle w:val="Heading1"/>
      </w:pPr>
      <w:r>
        <w:t xml:space="preserve">4. Non-Functional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rPr>
          <w:tblHeader/>
        </w:trPr>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Req. ID</w:t>
            </w:r>
          </w:p>
        </w:tc>
        <w:tc>
          <w:tcPr>
            <w:tcW w:type="dxa" w:w="50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Priority</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Status</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NFR-01</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Performance: All portal pages shall load within 2 seconds on a 10 Mbps connection. Biometric scan responses (simulation or hardware) shall complete within 3 seconds. Dashboard KPIs shall render within 1 second of page load.</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Targeted</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NFR-02</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Security: All data transmitted between client and server shall use HTTPS with TLS 1.3. Passwords shall be hashed using bcrypt (cost factor ≥ 12). Biometric templates shall be encrypted at rest with AES-256. Session tokens shall be signed JWTs with 8-hour expiry.</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NFR-03</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Availability: The portal shall maintain 99.9% uptime (≤ 8.7 hours downtime/year). Planned maintenance windows shall be outside 7AM–10PM weekdays. The biometric system shall fail-open to password authentication if hardware is unreachable.</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Targeted</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NFR-04</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Usability: The portal shall comply with WCAG 2.1 Level AA. All interactive elements shall have a minimum touch target of 44×44 px on mobile. The UI shall be legible without horizontal scrolling at 320 px viewport width.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In Progress</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NFR-05</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Scalability: The system architecture shall support a minimum of 15,000 concurrent authenticated users without degradation. The database layer shall support horizontal scaling.</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NFR-06</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Compatibility: The portal shall function correctly on Chrome 90+, Firefox 88+, Safari 14+, Edge 90+, iOS 14+ (Safari), and Android 10+ (Chrome). Internet Explorer is not supported.</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NFR-07</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Maintainability: The JavaScript codebase shall follow a modular architecture (separate files per role-module). All biometric hardware integration shall be via the BiometricAPI plugin interface — no hardware-specific code shall exist in core portal files. All components shall be documented with inline JSDoc comments.</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NFR-08</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Localisation: The portal shall support Nigerian Naira (₦) currency formatting. Date formats shall follow DD/MM/YYYY. The system shall be prepared for multi-language support (English initial, Hausa/Igbo/Yoruba planned).</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1A7F5A"/>
                <w:sz w:val="21"/>
                <w:szCs w:val="21"/>
              </w:rPr>
              <w:t xml:space="preserve">Low</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bl>
    <w:p>
      <w:r>
        <w:br w:type="page"/>
      </w:r>
    </w:p>
    <w:p>
      <w:pPr>
        <w:pStyle w:val="Heading1"/>
      </w:pPr>
      <w:r>
        <w:t xml:space="preserve">5. External Interface Requirements</w:t>
      </w:r>
    </w:p>
    <w:p>
      <w:pPr>
        <w:pStyle w:val="Heading2"/>
      </w:pPr>
      <w:r>
        <w:t xml:space="preserve">5.1 User Interface</w:t>
      </w:r>
    </w:p>
    <w:p>
      <w:pPr>
        <w:pStyle w:val="ListParagraph"/>
        <w:numPr>
          <w:ilvl w:val="0"/>
          <w:numId w:val="2"/>
        </w:numPr>
        <w:spacing w:after="40" w:before="40"/>
      </w:pPr>
      <w:r>
        <w:rPr>
          <w:rFonts w:ascii="Arial" w:cs="Arial" w:eastAsia="Arial" w:hAnsi="Arial"/>
          <w:b w:val="false"/>
          <w:bCs w:val="false"/>
          <w:color w:val="000000"/>
          <w:sz w:val="22"/>
          <w:szCs w:val="22"/>
        </w:rPr>
        <w:t xml:space="preserve">Colour scheme: Navy (#0A1628) primary, Gold (#C9A84C) accent, Cream (#FAFAF7) background — brand-mandated</w:t>
      </w:r>
    </w:p>
    <w:p>
      <w:pPr>
        <w:pStyle w:val="ListParagraph"/>
        <w:numPr>
          <w:ilvl w:val="0"/>
          <w:numId w:val="2"/>
        </w:numPr>
        <w:spacing w:after="40" w:before="40"/>
      </w:pPr>
      <w:r>
        <w:rPr>
          <w:rFonts w:ascii="Arial" w:cs="Arial" w:eastAsia="Arial" w:hAnsi="Arial"/>
          <w:b w:val="false"/>
          <w:bCs w:val="false"/>
          <w:color w:val="000000"/>
          <w:sz w:val="22"/>
          <w:szCs w:val="22"/>
        </w:rPr>
        <w:t xml:space="preserve">Typography: DM Sans (body, 300/400/500/600) and Playfair Display (headings, 400/600) — loaded via Google Fonts with self-hosted fallback</w:t>
      </w:r>
    </w:p>
    <w:p>
      <w:pPr>
        <w:pStyle w:val="ListParagraph"/>
        <w:numPr>
          <w:ilvl w:val="0"/>
          <w:numId w:val="2"/>
        </w:numPr>
        <w:spacing w:after="40" w:before="40"/>
      </w:pPr>
      <w:r>
        <w:rPr>
          <w:rFonts w:ascii="Arial" w:cs="Arial" w:eastAsia="Arial" w:hAnsi="Arial"/>
          <w:b w:val="false"/>
          <w:bCs w:val="false"/>
          <w:color w:val="000000"/>
          <w:sz w:val="22"/>
          <w:szCs w:val="22"/>
        </w:rPr>
        <w:t xml:space="preserve">Icons: 60+ professional inline SVG icons; no emoji usage in the portal UI</w:t>
      </w:r>
    </w:p>
    <w:p>
      <w:pPr>
        <w:pStyle w:val="ListParagraph"/>
        <w:numPr>
          <w:ilvl w:val="0"/>
          <w:numId w:val="2"/>
        </w:numPr>
        <w:spacing w:after="40" w:before="40"/>
      </w:pPr>
      <w:r>
        <w:rPr>
          <w:rFonts w:ascii="Arial" w:cs="Arial" w:eastAsia="Arial" w:hAnsi="Arial"/>
          <w:b w:val="false"/>
          <w:bCs w:val="false"/>
          <w:color w:val="000000"/>
          <w:sz w:val="22"/>
          <w:szCs w:val="22"/>
        </w:rPr>
        <w:t xml:space="preserve">Responsive breakpoints: 320 px (mobile), 768 px (tablet), 1024 px (laptop), 1440 px+ (desktop)</w:t>
      </w:r>
    </w:p>
    <w:p>
      <w:pPr>
        <w:pStyle w:val="ListParagraph"/>
        <w:numPr>
          <w:ilvl w:val="0"/>
          <w:numId w:val="2"/>
        </w:numPr>
        <w:spacing w:after="40" w:before="40"/>
      </w:pPr>
      <w:r>
        <w:rPr>
          <w:rFonts w:ascii="Arial" w:cs="Arial" w:eastAsia="Arial" w:hAnsi="Arial"/>
          <w:b w:val="false"/>
          <w:bCs w:val="false"/>
          <w:color w:val="000000"/>
          <w:sz w:val="22"/>
          <w:szCs w:val="22"/>
        </w:rPr>
        <w:t xml:space="preserve">Mobile sidebar: slide-in drawer with overlay, toggled by hamburger button</w:t>
      </w:r>
    </w:p>
    <w:p>
      <w:pPr>
        <w:pStyle w:val="ListParagraph"/>
        <w:numPr>
          <w:ilvl w:val="0"/>
          <w:numId w:val="2"/>
        </w:numPr>
        <w:spacing w:after="40" w:before="40"/>
      </w:pPr>
      <w:r>
        <w:rPr>
          <w:rFonts w:ascii="Arial" w:cs="Arial" w:eastAsia="Arial" w:hAnsi="Arial"/>
          <w:b w:val="false"/>
          <w:bCs w:val="false"/>
          <w:color w:val="000000"/>
          <w:sz w:val="22"/>
          <w:szCs w:val="22"/>
        </w:rPr>
        <w:t xml:space="preserve">Toast notifications: context-sensitive system feedback (success/warning/error/info)</w:t>
      </w:r>
    </w:p>
    <w:p>
      <w:pPr>
        <w:pStyle w:val="Heading2"/>
      </w:pPr>
      <w:r>
        <w:t xml:space="preserve">5.2 Hardware Interface</w:t>
      </w:r>
    </w:p>
    <w:p>
      <w:pPr>
        <w:spacing w:after="60" w:before="60"/>
      </w:pPr>
      <w:r>
        <w:rPr>
          <w:rFonts w:ascii="Arial" w:cs="Arial" w:eastAsia="Arial" w:hAnsi="Arial"/>
          <w:color w:val="000000"/>
          <w:sz w:val="22"/>
          <w:szCs w:val="22"/>
        </w:rPr>
        <w:t xml:space="preserve">All biometric hardware integration is mediated through the BiometricAPI plugin contract (defined in js/biometric.js). Plugin authors must implement: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Method</w:t>
            </w:r>
          </w:p>
        </w:tc>
        <w:tc>
          <w:tcPr>
            <w:tcW w:type="dxa" w:w="360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Signature</w:t>
            </w:r>
          </w:p>
        </w:tc>
        <w:tc>
          <w:tcPr>
            <w:tcW w:type="dxa" w:w="32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r>
      <w:tr>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init()</w:t>
            </w:r>
          </w:p>
        </w:tc>
        <w:tc>
          <w:tcPr>
            <w:tcW w:type="dxa" w:w="36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async init(): Promise&lt;void&gt;</w:t>
            </w:r>
          </w:p>
        </w:tc>
        <w:tc>
          <w:tcPr>
            <w:tcW w:type="dxa" w:w="32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Initialise the hardware device. Throw on failure.</w:t>
            </w:r>
          </w:p>
        </w:tc>
      </w:tr>
      <w:tr>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scan()</w:t>
            </w:r>
          </w:p>
        </w:tc>
        <w:tc>
          <w:tcPr>
            <w:tcW w:type="dxa" w:w="36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18"/>
                <w:szCs w:val="18"/>
              </w:rPr>
              <w:t xml:space="preserve">async scan(userId: string): Promise&lt;ScanResult&gt;</w:t>
            </w:r>
          </w:p>
        </w:tc>
        <w:tc>
          <w:tcPr>
            <w:tcW w:type="dxa" w:w="32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Capture and match biometric. Return ScanResult.</w:t>
            </w:r>
          </w:p>
        </w:tc>
      </w:tr>
      <w:tr>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enroll()</w:t>
            </w:r>
          </w:p>
        </w:tc>
        <w:tc>
          <w:tcPr>
            <w:tcW w:type="dxa" w:w="36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async enroll(userId: string): Promise&lt;EnrollResult&gt;</w:t>
            </w:r>
          </w:p>
        </w:tc>
        <w:tc>
          <w:tcPr>
            <w:tcW w:type="dxa" w:w="32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Capture and store a new biometric template.</w:t>
            </w:r>
          </w:p>
        </w:tc>
      </w:tr>
      <w:tr>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delete()</w:t>
            </w:r>
          </w:p>
        </w:tc>
        <w:tc>
          <w:tcPr>
            <w:tcW w:type="dxa" w:w="36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18"/>
                <w:szCs w:val="18"/>
              </w:rPr>
              <w:t xml:space="preserve">async delete(userId: string): Promise&lt;void&gt;</w:t>
            </w:r>
          </w:p>
        </w:tc>
        <w:tc>
          <w:tcPr>
            <w:tcW w:type="dxa" w:w="32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Remove stored template for the given user.</w:t>
            </w:r>
          </w:p>
        </w:tc>
      </w:tr>
    </w:tbl>
    <w:p>
      <w:pPr>
        <w:spacing w:after="0" w:before="80"/>
      </w:pPr>
      <w:r>
        <w:t xml:space="preserve"/>
      </w:r>
    </w:p>
    <w:p>
      <w:pPr>
        <w:spacing w:after="60" w:before="60"/>
      </w:pPr>
      <w:r>
        <w:rPr>
          <w:rFonts w:ascii="Arial" w:cs="Arial" w:eastAsia="Arial" w:hAnsi="Arial"/>
          <w:color w:val="000000"/>
          <w:sz w:val="22"/>
          <w:szCs w:val="22"/>
        </w:rPr>
        <w:t xml:space="preserve">Recommended hardware vendors: ZKTeco (fingerprint), Hikvision (facial recognition), ACR122U (NFC card reader).</w:t>
      </w:r>
    </w:p>
    <w:p>
      <w:pPr>
        <w:pStyle w:val="Heading2"/>
      </w:pPr>
      <w:r>
        <w:t xml:space="preserve">5.3 Software Interface</w:t>
      </w:r>
    </w:p>
    <w:p>
      <w:pPr>
        <w:pStyle w:val="ListParagraph"/>
        <w:numPr>
          <w:ilvl w:val="0"/>
          <w:numId w:val="2"/>
        </w:numPr>
        <w:spacing w:after="40" w:before="40"/>
      </w:pPr>
      <w:r>
        <w:rPr>
          <w:rFonts w:ascii="Arial" w:cs="Arial" w:eastAsia="Arial" w:hAnsi="Arial"/>
          <w:b w:val="false"/>
          <w:bCs w:val="false"/>
          <w:color w:val="000000"/>
          <w:sz w:val="22"/>
          <w:szCs w:val="22"/>
        </w:rPr>
        <w:t xml:space="preserve">SMTP Server: Outbound email for OTP delivery and notifications (TLS, port 587)</w:t>
      </w:r>
    </w:p>
    <w:p>
      <w:pPr>
        <w:pStyle w:val="ListParagraph"/>
        <w:numPr>
          <w:ilvl w:val="0"/>
          <w:numId w:val="2"/>
        </w:numPr>
        <w:spacing w:after="40" w:before="40"/>
      </w:pPr>
      <w:r>
        <w:rPr>
          <w:rFonts w:ascii="Arial" w:cs="Arial" w:eastAsia="Arial" w:hAnsi="Arial"/>
          <w:b w:val="false"/>
          <w:bCs w:val="false"/>
          <w:color w:val="000000"/>
          <w:sz w:val="22"/>
          <w:szCs w:val="22"/>
        </w:rPr>
        <w:t xml:space="preserve">SMS Gateway: Optional — Twilio or Termii for SMS OTP fallback</w:t>
      </w:r>
    </w:p>
    <w:p>
      <w:pPr>
        <w:pStyle w:val="ListParagraph"/>
        <w:numPr>
          <w:ilvl w:val="0"/>
          <w:numId w:val="2"/>
        </w:numPr>
        <w:spacing w:after="40" w:before="40"/>
      </w:pPr>
      <w:r>
        <w:rPr>
          <w:rFonts w:ascii="Arial" w:cs="Arial" w:eastAsia="Arial" w:hAnsi="Arial"/>
          <w:b w:val="false"/>
          <w:bCs w:val="false"/>
          <w:color w:val="000000"/>
          <w:sz w:val="22"/>
          <w:szCs w:val="22"/>
        </w:rPr>
        <w:t xml:space="preserve">Payment Gateway: Remita (primary), Flutterwave (secondary) for school fee collection</w:t>
      </w:r>
    </w:p>
    <w:p>
      <w:pPr>
        <w:pStyle w:val="ListParagraph"/>
        <w:numPr>
          <w:ilvl w:val="0"/>
          <w:numId w:val="2"/>
        </w:numPr>
        <w:spacing w:after="40" w:before="40"/>
      </w:pPr>
      <w:r>
        <w:rPr>
          <w:rFonts w:ascii="Arial" w:cs="Arial" w:eastAsia="Arial" w:hAnsi="Arial"/>
          <w:b w:val="false"/>
          <w:bCs w:val="false"/>
          <w:color w:val="000000"/>
          <w:sz w:val="22"/>
          <w:szCs w:val="22"/>
        </w:rPr>
        <w:t xml:space="preserve">Audit Log API: Write-only endpoint for persisting audit events to the university's central log store</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 Information System: REST API integration planned for live data sync (replacing mock DATA object)</w:t>
      </w:r>
    </w:p>
    <w:p>
      <w:pPr>
        <w:pStyle w:val="Heading2"/>
      </w:pPr>
      <w:r>
        <w:t xml:space="preserve">5.4 Communication Interface</w:t>
      </w:r>
    </w:p>
    <w:p>
      <w:pPr>
        <w:pStyle w:val="ListParagraph"/>
        <w:numPr>
          <w:ilvl w:val="0"/>
          <w:numId w:val="2"/>
        </w:numPr>
        <w:spacing w:after="40" w:before="40"/>
      </w:pPr>
      <w:r>
        <w:rPr>
          <w:rFonts w:ascii="Arial" w:cs="Arial" w:eastAsia="Arial" w:hAnsi="Arial"/>
          <w:b w:val="false"/>
          <w:bCs w:val="false"/>
          <w:color w:val="000000"/>
          <w:sz w:val="22"/>
          <w:szCs w:val="22"/>
        </w:rPr>
        <w:t xml:space="preserve">All client-server communication shall use HTTPS with TLS 1.3 minimum</w:t>
      </w:r>
    </w:p>
    <w:p>
      <w:pPr>
        <w:pStyle w:val="ListParagraph"/>
        <w:numPr>
          <w:ilvl w:val="0"/>
          <w:numId w:val="2"/>
        </w:numPr>
        <w:spacing w:after="40" w:before="40"/>
      </w:pPr>
      <w:r>
        <w:rPr>
          <w:rFonts w:ascii="Arial" w:cs="Arial" w:eastAsia="Arial" w:hAnsi="Arial"/>
          <w:b w:val="false"/>
          <w:bCs w:val="false"/>
          <w:color w:val="000000"/>
          <w:sz w:val="22"/>
          <w:szCs w:val="22"/>
        </w:rPr>
        <w:t xml:space="preserve">WebSocket connection for real-time biometric event streaming to the Admin dashboard</w:t>
      </w:r>
    </w:p>
    <w:p>
      <w:pPr>
        <w:pStyle w:val="ListParagraph"/>
        <w:numPr>
          <w:ilvl w:val="0"/>
          <w:numId w:val="2"/>
        </w:numPr>
        <w:spacing w:after="40" w:before="40"/>
      </w:pPr>
      <w:r>
        <w:rPr>
          <w:rFonts w:ascii="Arial" w:cs="Arial" w:eastAsia="Arial" w:hAnsi="Arial"/>
          <w:b w:val="false"/>
          <w:bCs w:val="false"/>
          <w:color w:val="000000"/>
          <w:sz w:val="22"/>
          <w:szCs w:val="22"/>
        </w:rPr>
        <w:t xml:space="preserve">REST API (JSON) for all data operations in the production backend integration</w:t>
      </w:r>
    </w:p>
    <w:p>
      <w:pPr>
        <w:pStyle w:val="ListParagraph"/>
        <w:numPr>
          <w:ilvl w:val="0"/>
          <w:numId w:val="2"/>
        </w:numPr>
        <w:spacing w:after="40" w:before="40"/>
      </w:pPr>
      <w:r>
        <w:rPr>
          <w:rFonts w:ascii="Arial" w:cs="Arial" w:eastAsia="Arial" w:hAnsi="Arial"/>
          <w:b w:val="false"/>
          <w:bCs w:val="false"/>
          <w:color w:val="000000"/>
          <w:sz w:val="22"/>
          <w:szCs w:val="22"/>
        </w:rPr>
        <w:t xml:space="preserve">Content Security Policy (CSP) headers must be configured to prevent XSS</w:t>
      </w:r>
    </w:p>
    <w:p>
      <w:r>
        <w:br w:type="page"/>
      </w:r>
    </w:p>
    <w:p>
      <w:pPr>
        <w:pStyle w:val="Heading1"/>
      </w:pPr>
      <w:r>
        <w:t xml:space="preserve">6. Security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rPr>
          <w:tblHeader/>
        </w:trPr>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Req. ID</w:t>
            </w:r>
          </w:p>
        </w:tc>
        <w:tc>
          <w:tcPr>
            <w:tcW w:type="dxa" w:w="50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Priority</w:t>
            </w:r>
          </w:p>
        </w:tc>
        <w:tc>
          <w:tcPr>
            <w:tcW w:type="dxa" w:w="14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Status</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SR-01</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All biometric templates (fingerprint minutiae, retina maps, facial embeddings) shall be encrypted at rest using AES-256 and shall never be transmitted in plaintext over any network interface.</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1A7F5A"/>
                <w:sz w:val="21"/>
                <w:szCs w:val="21"/>
              </w:rPr>
              <w:t xml:space="preserve">Critical</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SR-02</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Administrator password recovery shall require: (a) a pre-registered security question answer, (b) an email OTP, and (c) biometric re-verification. The Chief Security Officer shall receive an email notification for every Admin recovery event.</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1A7F5A"/>
                <w:sz w:val="21"/>
                <w:szCs w:val="21"/>
              </w:rPr>
              <w:t xml:space="preserve">Critical</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SR-03</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Any role elevation or demotion (including VC to Admin promotion) shall require a biometric scan from the authorising Administrator. The authorisation event shall be permanently recorded in the audit log with the Admin's biometric confirmation status.</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1A7F5A"/>
                <w:sz w:val="21"/>
                <w:szCs w:val="21"/>
              </w:rPr>
              <w:t xml:space="preserve">Critical</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SR-04</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Every system action (login, logout, result submission, settings change, file upload, role change, fee payment, biometric event) shall generate an immutable audit log entry with: ISO 8601 timestamp, user ID, role, action type, detail description, source IP address, and biometric verification status.</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SR-05</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After 3 consecutive failed login attempts, the account shall be locked for 30 seconds. After 10 cumulative failures in 24 hours, the account shall be flagged for Administrator review.</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SR-06</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Passwords must satisfy: minimum 8 characters; at least one uppercase letter (A–Z); at least one digit (0–9); at least one special character. Password history of the last 5 passwords must be maintained to prevent reuse.</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SR-07</w:t>
            </w:r>
          </w:p>
        </w:tc>
        <w:tc>
          <w:tcPr>
            <w:tcW w:type="dxa" w:w="50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Biometric scan failures exceeding 3 attempts in a 10-minute window at any location shall trigger an immediate security alert to the Admin dashboard and dispatch an email to the security team.</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B33A3A"/>
                <w:sz w:val="21"/>
                <w:szCs w:val="21"/>
              </w:rPr>
              <w:t xml:space="preserve">High</w:t>
            </w:r>
          </w:p>
        </w:tc>
        <w:tc>
          <w:tcPr>
            <w:tcW w:type="dxa" w:w="14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Complete</w:t>
            </w:r>
          </w:p>
        </w:tc>
      </w:tr>
      <w:tr>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bCs/>
                <w:color w:val="0A1628"/>
                <w:sz w:val="19"/>
                <w:szCs w:val="19"/>
              </w:rPr>
              <w:t xml:space="preserve">SR-08</w:t>
            </w:r>
          </w:p>
        </w:tc>
        <w:tc>
          <w:tcPr>
            <w:tcW w:type="dxa" w:w="50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Session tokens shall be invalidated immediately on logout. Concurrent sessions from different IP addresses shall trigger a re-authentication prompt.</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8a6a1a"/>
                <w:sz w:val="21"/>
                <w:szCs w:val="21"/>
              </w:rPr>
              <w:t xml:space="preserve">Medium</w:t>
            </w:r>
          </w:p>
        </w:tc>
        <w:tc>
          <w:tcPr>
            <w:tcW w:type="dxa" w:w="14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b w:val="false"/>
                <w:bCs w:val="false"/>
                <w:color w:val="000000"/>
                <w:sz w:val="21"/>
                <w:szCs w:val="21"/>
              </w:rPr>
              <w:t xml:space="preserve">Planned</w:t>
            </w:r>
          </w:p>
        </w:tc>
      </w:tr>
    </w:tbl>
    <w:p>
      <w:r>
        <w:br w:type="page"/>
      </w:r>
    </w:p>
    <w:p>
      <w:pPr>
        <w:pStyle w:val="Heading1"/>
      </w:pPr>
      <w:r>
        <w:t xml:space="preserve">7. Biometric Hardware Plugin Specification</w:t>
      </w:r>
    </w:p>
    <w:p>
      <w:pPr>
        <w:pStyle w:val="Heading2"/>
      </w:pPr>
      <w:r>
        <w:t xml:space="preserve">7.1 Overview</w:t>
      </w:r>
    </w:p>
    <w:p>
      <w:pPr>
        <w:spacing w:after="60" w:before="60"/>
      </w:pPr>
      <w:r>
        <w:rPr>
          <w:rFonts w:ascii="Arial" w:cs="Arial" w:eastAsia="Arial" w:hAnsi="Arial"/>
          <w:color w:val="000000"/>
          <w:sz w:val="22"/>
          <w:szCs w:val="22"/>
        </w:rPr>
        <w:t xml:space="preserve">The BiometricAPI (js/biometric.js) provides a hardware-agnostic abstraction layer between the portal UI and physical biometric devices. It follows a plugin registration pattern: device vendors (or integrators) implement the plugin contract and register it before the portal loads. The portal UI never calls device SDKs directly.</w:t>
      </w:r>
    </w:p>
    <w:p>
      <w:pPr>
        <w:pStyle w:val="Heading2"/>
      </w:pPr>
      <w:r>
        <w:t xml:space="preserve">7.2 Supported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Method Key</w:t>
            </w:r>
          </w:p>
        </w:tc>
        <w:tc>
          <w:tcPr>
            <w:tcW w:type="dxa" w:w="360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c>
          <w:tcPr>
            <w:tcW w:type="dxa" w:w="360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Typical Hardware</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"fingerprint"</w:t>
            </w:r>
          </w:p>
        </w:tc>
        <w:tc>
          <w:tcPr>
            <w:tcW w:type="dxa" w:w="36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Optical or capacitive fingerprint scanner</w:t>
            </w:r>
          </w:p>
        </w:tc>
        <w:tc>
          <w:tcPr>
            <w:tcW w:type="dxa" w:w="36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ZKTeco ZK4500, Digital Persona U.are.U</w:t>
            </w:r>
          </w:p>
        </w:tc>
      </w:tr>
      <w:tr>
        <w:tc>
          <w:tcPr>
            <w:tcW w:type="dxa" w:w="216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"retina"</w:t>
            </w:r>
          </w:p>
        </w:tc>
        <w:tc>
          <w:tcPr>
            <w:tcW w:type="dxa" w:w="36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Retina / iris scanner</w:t>
            </w:r>
          </w:p>
        </w:tc>
        <w:tc>
          <w:tcPr>
            <w:tcW w:type="dxa" w:w="36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IriShield MK 2120U, Iris ID iCAM7000</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"facial"</w:t>
            </w:r>
          </w:p>
        </w:tc>
        <w:tc>
          <w:tcPr>
            <w:tcW w:type="dxa" w:w="36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Facial recognition camera</w:t>
            </w:r>
          </w:p>
        </w:tc>
        <w:tc>
          <w:tcPr>
            <w:tcW w:type="dxa" w:w="36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Hikvision DS-K1T671TM, Suprema FaceStation 2</w:t>
            </w:r>
          </w:p>
        </w:tc>
      </w:tr>
      <w:tr>
        <w:tc>
          <w:tcPr>
            <w:tcW w:type="dxa" w:w="216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"nfc"</w:t>
            </w:r>
          </w:p>
        </w:tc>
        <w:tc>
          <w:tcPr>
            <w:tcW w:type="dxa" w:w="36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NFC card reader (ISO 14443)</w:t>
            </w:r>
          </w:p>
        </w:tc>
        <w:tc>
          <w:tcPr>
            <w:tcW w:type="dxa" w:w="36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ACR122U, HID OMNIKEY 5022</w:t>
            </w:r>
          </w:p>
        </w:tc>
      </w:tr>
    </w:tbl>
    <w:p>
      <w:pPr>
        <w:spacing w:after="0" w:before="80"/>
      </w:pPr>
      <w:r>
        <w:t xml:space="preserve"/>
      </w:r>
    </w:p>
    <w:p>
      <w:pPr>
        <w:pStyle w:val="Heading2"/>
      </w:pPr>
      <w:r>
        <w:t xml:space="preserve">7.3 ScanResult Object</w:t>
      </w:r>
    </w:p>
    <w:p>
      <w:pPr>
        <w:spacing w:after="60" w:before="60"/>
      </w:pPr>
      <w:r>
        <w:rPr>
          <w:rFonts w:ascii="Arial" w:cs="Arial" w:eastAsia="Arial" w:hAnsi="Arial"/>
          <w:color w:val="000000"/>
          <w:sz w:val="22"/>
          <w:szCs w:val="22"/>
        </w:rPr>
        <w:t xml:space="preserve">The scan() method must return an object conforming to the following schema: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Field</w:t>
            </w:r>
          </w:p>
        </w:tc>
        <w:tc>
          <w:tcPr>
            <w:tcW w:type="dxa" w:w="180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Type</w:t>
            </w:r>
          </w:p>
        </w:tc>
        <w:tc>
          <w:tcPr>
            <w:tcW w:type="dxa" w:w="540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Description</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success</w:t>
            </w:r>
          </w:p>
        </w:tc>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boolean</w:t>
            </w:r>
          </w:p>
        </w:tc>
        <w:tc>
          <w:tcPr>
            <w:tcW w:type="dxa" w:w="54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true if identity verified; false otherwise</w:t>
            </w:r>
          </w:p>
        </w:tc>
      </w:tr>
      <w:tr>
        <w:tc>
          <w:tcPr>
            <w:tcW w:type="dxa" w:w="216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method</w:t>
            </w:r>
          </w:p>
        </w:tc>
        <w:tc>
          <w:tcPr>
            <w:tcW w:type="dxa" w:w="18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string</w:t>
            </w:r>
          </w:p>
        </w:tc>
        <w:tc>
          <w:tcPr>
            <w:tcW w:type="dxa" w:w="54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One of: "fingerprint", "retina", "facial", "nfc"</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userId</w:t>
            </w:r>
          </w:p>
        </w:tc>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string</w:t>
            </w:r>
          </w:p>
        </w:tc>
        <w:tc>
          <w:tcPr>
            <w:tcW w:type="dxa" w:w="54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The Portal ID passed to scan()</w:t>
            </w:r>
          </w:p>
        </w:tc>
      </w:tr>
      <w:tr>
        <w:tc>
          <w:tcPr>
            <w:tcW w:type="dxa" w:w="216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quality</w:t>
            </w:r>
          </w:p>
        </w:tc>
        <w:tc>
          <w:tcPr>
            <w:tcW w:type="dxa" w:w="18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number</w:t>
            </w:r>
          </w:p>
        </w:tc>
        <w:tc>
          <w:tcPr>
            <w:tcW w:type="dxa" w:w="54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Scan quality score 0–100 (0 if failed)</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template</w:t>
            </w:r>
          </w:p>
        </w:tc>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string</w:t>
            </w:r>
          </w:p>
        </w:tc>
        <w:tc>
          <w:tcPr>
            <w:tcW w:type="dxa" w:w="54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Base64-encoded biometric template (null if failed)</w:t>
            </w:r>
          </w:p>
        </w:tc>
      </w:tr>
      <w:tr>
        <w:tc>
          <w:tcPr>
            <w:tcW w:type="dxa" w:w="216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message</w:t>
            </w:r>
          </w:p>
        </w:tc>
        <w:tc>
          <w:tcPr>
            <w:tcW w:type="dxa" w:w="18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string</w:t>
            </w:r>
          </w:p>
        </w:tc>
        <w:tc>
          <w:tcPr>
            <w:tcW w:type="dxa" w:w="54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Human-readable result message for display in the UI</w:t>
            </w:r>
          </w:p>
        </w:tc>
      </w:tr>
      <w:tr>
        <w:tc>
          <w:tcPr>
            <w:tcW w:type="dxa" w:w="216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simulated</w:t>
            </w:r>
          </w:p>
        </w:tc>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boolean</w:t>
            </w:r>
          </w:p>
        </w:tc>
        <w:tc>
          <w:tcPr>
            <w:tcW w:type="dxa" w:w="54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true if generated by the simulation fallback</w:t>
            </w:r>
          </w:p>
        </w:tc>
      </w:tr>
    </w:tbl>
    <w:p>
      <w:pPr>
        <w:spacing w:after="0" w:before="80"/>
      </w:pPr>
      <w:r>
        <w:t xml:space="preserve"/>
      </w:r>
    </w:p>
    <w:p>
      <w:pPr>
        <w:pStyle w:val="Heading2"/>
      </w:pPr>
      <w:r>
        <w:t xml:space="preserve">7.4 Plugin Registration</w:t>
      </w:r>
    </w:p>
    <w:p>
      <w:pPr>
        <w:spacing w:after="60" w:before="60"/>
      </w:pPr>
      <w:r>
        <w:rPr>
          <w:rFonts w:ascii="Arial" w:cs="Arial" w:eastAsia="Arial" w:hAnsi="Arial"/>
          <w:color w:val="000000"/>
          <w:sz w:val="22"/>
          <w:szCs w:val="22"/>
        </w:rPr>
        <w:t xml:space="preserve">Hardware plugins must be loaded in a separate script file and registered before the portal initialises: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none" w:color="FFFFFF" w:sz="0"/>
              <w:bottom w:val="single" w:color="C9A84C" w:sz="12"/>
              <w:right w:val="none" w:color="FFFFFF" w:sz="0"/>
            </w:tcBorders>
            <w:shd w:fill="1A2540" w:val="clear"/>
            <w:tcMar>
              <w:top w:type="dxa" w:w="120"/>
              <w:left w:type="dxa" w:w="200"/>
              <w:bottom w:type="dxa" w:w="120"/>
              <w:right w:type="dxa" w:w="200"/>
            </w:tcMar>
          </w:tcPr>
          <w:p>
            <w:pPr>
              <w:spacing w:after="20" w:before="20"/>
            </w:pPr>
            <w:r>
              <w:rPr>
                <w:rFonts w:ascii="Courier New" w:cs="Courier New" w:eastAsia="Courier New" w:hAnsi="Courier New"/>
                <w:color w:val="A8D8A8"/>
                <w:sz w:val="19"/>
                <w:szCs w:val="19"/>
              </w:rPr>
              <w:t xml:space="preserve">const MyFingerprintPlugin = {</w:t>
            </w:r>
          </w:p>
          <w:p>
            <w:pPr>
              <w:spacing w:after="20" w:before="20"/>
            </w:pPr>
            <w:r>
              <w:rPr>
                <w:rFonts w:ascii="Courier New" w:cs="Courier New" w:eastAsia="Courier New" w:hAnsi="Courier New"/>
                <w:color w:val="A8D8A8"/>
                <w:sz w:val="19"/>
                <w:szCs w:val="19"/>
              </w:rPr>
              <w:t xml:space="preserve">  name: "ZKTeco ZK4500 USB Fingerprint",</w:t>
            </w:r>
          </w:p>
          <w:p>
            <w:pPr>
              <w:spacing w:after="20" w:before="20"/>
            </w:pPr>
            <w:r>
              <w:rPr>
                <w:rFonts w:ascii="Courier New" w:cs="Courier New" w:eastAsia="Courier New" w:hAnsi="Courier New"/>
                <w:color w:val="A8D8A8"/>
                <w:sz w:val="19"/>
                <w:szCs w:val="19"/>
              </w:rPr>
              <w:t xml:space="preserve">  async init() { /* connect to USB SDK */ },</w:t>
            </w:r>
          </w:p>
          <w:p>
            <w:pPr>
              <w:spacing w:after="20" w:before="20"/>
            </w:pPr>
            <w:r>
              <w:rPr>
                <w:rFonts w:ascii="Courier New" w:cs="Courier New" w:eastAsia="Courier New" w:hAnsi="Courier New"/>
                <w:color w:val="A8D8A8"/>
                <w:sz w:val="19"/>
                <w:szCs w:val="19"/>
              </w:rPr>
              <w:t xml:space="preserve">  async scan(userId) {</w:t>
            </w:r>
          </w:p>
          <w:p>
            <w:pPr>
              <w:spacing w:after="20" w:before="20"/>
            </w:pPr>
            <w:r>
              <w:rPr>
                <w:rFonts w:ascii="Courier New" w:cs="Courier New" w:eastAsia="Courier New" w:hAnsi="Courier New"/>
                <w:color w:val="A8D8A8"/>
                <w:sz w:val="19"/>
                <w:szCs w:val="19"/>
              </w:rPr>
              <w:t xml:space="preserve">    // call device SDK, return ScanResult</w:t>
            </w:r>
          </w:p>
          <w:p>
            <w:pPr>
              <w:spacing w:after="20" w:before="20"/>
            </w:pPr>
            <w:r>
              <w:rPr>
                <w:rFonts w:ascii="Courier New" w:cs="Courier New" w:eastAsia="Courier New" w:hAnsi="Courier New"/>
                <w:color w:val="A8D8A8"/>
                <w:sz w:val="19"/>
                <w:szCs w:val="19"/>
              </w:rPr>
              <w:t xml:space="preserve">    return { success: true, method: "fingerprint", userId, quality: 95, template: "..." };</w:t>
            </w:r>
          </w:p>
          <w:p>
            <w:pPr>
              <w:spacing w:after="20" w:before="20"/>
            </w:pPr>
            <w:r>
              <w:rPr>
                <w:rFonts w:ascii="Courier New" w:cs="Courier New" w:eastAsia="Courier New" w:hAnsi="Courier New"/>
                <w:color w:val="A8D8A8"/>
                <w:sz w:val="19"/>
                <w:szCs w:val="19"/>
              </w:rPr>
              <w:t xml:space="preserve">  },</w:t>
            </w:r>
          </w:p>
          <w:p>
            <w:pPr>
              <w:spacing w:after="20" w:before="20"/>
            </w:pPr>
            <w:r>
              <w:rPr>
                <w:rFonts w:ascii="Courier New" w:cs="Courier New" w:eastAsia="Courier New" w:hAnsi="Courier New"/>
                <w:color w:val="A8D8A8"/>
                <w:sz w:val="19"/>
                <w:szCs w:val="19"/>
              </w:rPr>
              <w:t xml:space="preserve">  async enroll(userId) { /* capture template */ },</w:t>
            </w:r>
          </w:p>
          <w:p>
            <w:pPr>
              <w:spacing w:after="20" w:before="20"/>
            </w:pPr>
            <w:r>
              <w:rPr>
                <w:rFonts w:ascii="Courier New" w:cs="Courier New" w:eastAsia="Courier New" w:hAnsi="Courier New"/>
                <w:color w:val="A8D8A8"/>
                <w:sz w:val="19"/>
                <w:szCs w:val="19"/>
              </w:rPr>
              <w:t xml:space="preserve">  async delete(userId) { /* remove template */ },</w:t>
            </w:r>
          </w:p>
          <w:p>
            <w:pPr>
              <w:spacing w:after="20" w:before="20"/>
            </w:pPr>
            <w:r>
              <w:rPr>
                <w:rFonts w:ascii="Courier New" w:cs="Courier New" w:eastAsia="Courier New" w:hAnsi="Courier New"/>
                <w:color w:val="A8D8A8"/>
                <w:sz w:val="19"/>
                <w:szCs w:val="19"/>
              </w:rPr>
              <w:t xml:space="preserve">};</w:t>
            </w:r>
          </w:p>
          <w:p>
            <w:pPr>
              <w:spacing w:after="20" w:before="20"/>
            </w:pPr>
            <w:r>
              <w:rPr>
                <w:rFonts w:ascii="Courier New" w:cs="Courier New" w:eastAsia="Courier New" w:hAnsi="Courier New"/>
                <w:color w:val="A8D8A8"/>
                <w:sz w:val="19"/>
                <w:szCs w:val="19"/>
              </w:rPr>
              <w:t xml:space="preserve"> </w:t>
            </w:r>
          </w:p>
          <w:p>
            <w:pPr>
              <w:spacing w:after="20" w:before="20"/>
            </w:pPr>
            <w:r>
              <w:rPr>
                <w:rFonts w:ascii="Courier New" w:cs="Courier New" w:eastAsia="Courier New" w:hAnsi="Courier New"/>
                <w:color w:val="A8D8A8"/>
                <w:sz w:val="19"/>
                <w:szCs w:val="19"/>
              </w:rPr>
              <w:t xml:space="preserve">// Register before portal loads:</w:t>
            </w:r>
          </w:p>
          <w:p>
            <w:pPr>
              <w:spacing w:after="20" w:before="20"/>
            </w:pPr>
            <w:r>
              <w:rPr>
                <w:rFonts w:ascii="Courier New" w:cs="Courier New" w:eastAsia="Courier New" w:hAnsi="Courier New"/>
                <w:color w:val="A8D8A8"/>
                <w:sz w:val="19"/>
                <w:szCs w:val="19"/>
              </w:rPr>
              <w:t xml:space="preserve">BiometricAPI.register("fingerprint", MyFingerprintPlugin);</w:t>
            </w:r>
          </w:p>
        </w:tc>
      </w:tr>
    </w:tbl>
    <w:p>
      <w:r>
        <w:br w:type="page"/>
      </w:r>
    </w:p>
    <w:p>
      <w:pPr>
        <w:pStyle w:val="Heading1"/>
      </w:pPr>
      <w:r>
        <w:t xml:space="preserve">Appendix</w:t>
      </w:r>
    </w:p>
    <w:p>
      <w:pPr>
        <w:pStyle w:val="Heading2"/>
      </w:pPr>
      <w:r>
        <w:t xml:space="preserve">Appendix A — Portal ID Format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Role</w:t>
            </w:r>
          </w:p>
        </w:tc>
        <w:tc>
          <w:tcPr>
            <w:tcW w:type="dxa" w:w="25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Format</w:t>
            </w:r>
          </w:p>
        </w:tc>
        <w:tc>
          <w:tcPr>
            <w:tcW w:type="dxa" w:w="25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Example</w:t>
            </w:r>
          </w:p>
        </w:tc>
        <w:tc>
          <w:tcPr>
            <w:tcW w:type="dxa" w:w="25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Notes</w:t>
            </w:r>
          </w:p>
        </w:tc>
      </w:tr>
      <w:tr>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Administrator</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ADM-NNN</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ADM-001</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3-digit zero-padded number</w:t>
            </w:r>
          </w:p>
        </w:tc>
      </w:tr>
      <w:tr>
        <w:tc>
          <w:tcPr>
            <w:tcW w:type="dxa" w:w="18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Vice Chancellor</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VC-NNN</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VC-001</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3-digit zero-padded number</w:t>
            </w:r>
          </w:p>
        </w:tc>
      </w:tr>
      <w:tr>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Lecturer</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LEC-NNNN</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LEC-0042</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4-digit zero-padded number</w:t>
            </w:r>
          </w:p>
        </w:tc>
      </w:tr>
      <w:tr>
        <w:tc>
          <w:tcPr>
            <w:tcW w:type="dxa" w:w="18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Student</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UNIUTY/YYYY/NNNN</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UNIUTY/2022/0814</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YYYY = admission year; NNNN = 4-digit enrolment number</w:t>
            </w:r>
          </w:p>
        </w:tc>
      </w:tr>
    </w:tbl>
    <w:p>
      <w:pPr>
        <w:spacing w:after="0" w:before="120"/>
      </w:pPr>
      <w:r>
        <w:t xml:space="preserve"/>
      </w:r>
    </w:p>
    <w:p>
      <w:pPr>
        <w:pStyle w:val="Heading2"/>
      </w:pPr>
      <w:r>
        <w:t xml:space="preserve">Appendix B — Demo Credentials (Development/Testing Only)</w:t>
      </w:r>
    </w:p>
    <w:p>
      <w:pPr>
        <w:spacing w:after="40" w:before="40"/>
      </w:pPr>
      <w:r>
        <w:rPr>
          <w:rFonts w:ascii="Arial" w:cs="Arial" w:eastAsia="Arial" w:hAnsi="Arial"/>
          <w:i/>
          <w:iCs/>
          <w:color w:val="5A6475"/>
          <w:sz w:val="20"/>
          <w:szCs w:val="20"/>
        </w:rPr>
        <w:t xml:space="preserve">IMPORTANT: These credentials are for development and demonstration only. Production deployments must replace KNOWN_ACCOUNTS in js/app.js with a secure API-backed authentication service.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800"/>
        <w:gridCol w:w="2520"/>
      </w:tblGrid>
      <w:tr>
        <w:trPr>
          <w:tblHeader/>
        </w:trPr>
        <w:tc>
          <w:tcPr>
            <w:tcW w:type="dxa" w:w="25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Portal ID</w:t>
            </w:r>
          </w:p>
        </w:tc>
        <w:tc>
          <w:tcPr>
            <w:tcW w:type="dxa" w:w="25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Demo Password</w:t>
            </w:r>
          </w:p>
        </w:tc>
        <w:tc>
          <w:tcPr>
            <w:tcW w:type="dxa" w:w="180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Role</w:t>
            </w:r>
          </w:p>
        </w:tc>
        <w:tc>
          <w:tcPr>
            <w:tcW w:type="dxa" w:w="25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Display Name</w:t>
            </w:r>
          </w:p>
        </w:tc>
      </w:tr>
      <w:tr>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ADM-001</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Admin@2024!</w:t>
            </w:r>
          </w:p>
        </w:tc>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Administrator</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Dr. A. Dankwa</w:t>
            </w:r>
          </w:p>
        </w:tc>
      </w:tr>
      <w:tr>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ADM-002</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Admin@2024!</w:t>
            </w:r>
          </w:p>
        </w:tc>
        <w:tc>
          <w:tcPr>
            <w:tcW w:type="dxa" w:w="18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Administrator</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Mrs. F. Obi</w:t>
            </w:r>
          </w:p>
        </w:tc>
      </w:tr>
      <w:tr>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VC-001</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VC@Secure24!</w:t>
            </w:r>
          </w:p>
        </w:tc>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Vice Chancellor</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Prof. A. Chukwu</w:t>
            </w:r>
          </w:p>
        </w:tc>
      </w:tr>
      <w:tr>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LEC-0042</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Lec@2024!</w:t>
            </w:r>
          </w:p>
        </w:tc>
        <w:tc>
          <w:tcPr>
            <w:tcW w:type="dxa" w:w="18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Lecturer</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Dr. Obiora Nwosu</w:t>
            </w:r>
          </w:p>
        </w:tc>
      </w:tr>
      <w:tr>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LEC-0011</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Lec@2024!</w:t>
            </w:r>
          </w:p>
        </w:tc>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Lecturer</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Prof. A. Ikenna</w:t>
            </w:r>
          </w:p>
        </w:tc>
      </w:tr>
      <w:tr>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UNIUTY/2022/0814</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21"/>
                <w:szCs w:val="21"/>
              </w:rPr>
              <w:t xml:space="preserve">Student@1234</w:t>
            </w:r>
          </w:p>
        </w:tc>
        <w:tc>
          <w:tcPr>
            <w:tcW w:type="dxa" w:w="180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Student</w:t>
            </w:r>
          </w:p>
        </w:tc>
        <w:tc>
          <w:tcPr>
            <w:tcW w:type="dxa" w:w="25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Emeka Obi</w:t>
            </w:r>
          </w:p>
        </w:tc>
      </w:tr>
      <w:tr>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UNIUTY/2021/0011</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Student@1234</w:t>
            </w:r>
          </w:p>
        </w:tc>
        <w:tc>
          <w:tcPr>
            <w:tcW w:type="dxa" w:w="180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Student</w:t>
            </w:r>
          </w:p>
        </w:tc>
        <w:tc>
          <w:tcPr>
            <w:tcW w:type="dxa" w:w="25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Amara Okonkwo</w:t>
            </w:r>
          </w:p>
        </w:tc>
      </w:tr>
    </w:tbl>
    <w:p>
      <w:pPr>
        <w:spacing w:after="0" w:before="120"/>
      </w:pPr>
      <w:r>
        <w:t xml:space="preserve"/>
      </w:r>
    </w:p>
    <w:p>
      <w:pPr>
        <w:pStyle w:val="Heading2"/>
      </w:pPr>
      <w:r>
        <w:t xml:space="preserve">Appendix C — File Structure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File Path</w:t>
            </w:r>
          </w:p>
        </w:tc>
        <w:tc>
          <w:tcPr>
            <w:tcW w:type="dxa" w:w="6120"/>
            <w:tcBorders>
              <w:top w:val="single" w:color="E2E4E8" w:sz="4"/>
              <w:left w:val="single" w:color="E2E4E8" w:sz="4"/>
              <w:bottom w:val="single" w:color="E2E4E8" w:sz="4"/>
              <w:right w:val="single" w:color="E2E4E8" w:sz="4"/>
            </w:tcBorders>
            <w:shd w:fill="0A1628" w:val="clear"/>
            <w:tcMar>
              <w:top w:type="dxa" w:w="80"/>
              <w:left w:type="dxa" w:w="120"/>
              <w:bottom w:type="dxa" w:w="80"/>
              <w:right w:type="dxa" w:w="120"/>
            </w:tcMar>
          </w:tcPr>
          <w:p>
            <w:r>
              <w:rPr>
                <w:rFonts w:ascii="Arial" w:cs="Arial" w:eastAsia="Arial" w:hAnsi="Arial"/>
                <w:b/>
                <w:bCs/>
                <w:color w:val="F7C948"/>
                <w:sz w:val="20"/>
                <w:szCs w:val="20"/>
              </w:rPr>
              <w:t xml:space="preserve">Purpose</w:t>
            </w:r>
          </w:p>
        </w:tc>
      </w:tr>
      <w:tr>
        <w:tc>
          <w:tcPr>
            <w:tcW w:type="dxa" w:w="32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index.html</w:t>
            </w:r>
          </w:p>
        </w:tc>
        <w:tc>
          <w:tcPr>
            <w:tcW w:type="dxa" w:w="61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Main entry point — HTML shell, login screen, portal shell, script loading order</w:t>
            </w:r>
          </w:p>
        </w:tc>
      </w:tr>
      <w:tr>
        <w:tc>
          <w:tcPr>
            <w:tcW w:type="dxa" w:w="32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19"/>
                <w:szCs w:val="19"/>
              </w:rPr>
              <w:t xml:space="preserve">css/main.css</w:t>
            </w:r>
          </w:p>
        </w:tc>
        <w:tc>
          <w:tcPr>
            <w:tcW w:type="dxa" w:w="61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UI component styles — cards, tables, pills, buttons, alerts, biometric cards</w:t>
            </w:r>
          </w:p>
        </w:tc>
      </w:tr>
      <w:tr>
        <w:tc>
          <w:tcPr>
            <w:tcW w:type="dxa" w:w="32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css/layout.css</w:t>
            </w:r>
          </w:p>
        </w:tc>
        <w:tc>
          <w:tcPr>
            <w:tcW w:type="dxa" w:w="61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Login screen, sidebar, topbar, mobile responsive breakpoints</w:t>
            </w:r>
          </w:p>
        </w:tc>
      </w:tr>
      <w:tr>
        <w:tc>
          <w:tcPr>
            <w:tcW w:type="dxa" w:w="32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19"/>
                <w:szCs w:val="19"/>
              </w:rPr>
              <w:t xml:space="preserve">js/icons.js</w:t>
            </w:r>
          </w:p>
        </w:tc>
        <w:tc>
          <w:tcPr>
            <w:tcW w:type="dxa" w:w="61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Professional SVG icon library (60+ icons) — no emoji dependencies</w:t>
            </w:r>
          </w:p>
        </w:tc>
      </w:tr>
      <w:tr>
        <w:tc>
          <w:tcPr>
            <w:tcW w:type="dxa" w:w="32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js/biometric.js</w:t>
            </w:r>
          </w:p>
        </w:tc>
        <w:tc>
          <w:tcPr>
            <w:tcW w:type="dxa" w:w="61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BiometricAPI — hardware plugin interface + simulation fallback</w:t>
            </w:r>
          </w:p>
        </w:tc>
      </w:tr>
      <w:tr>
        <w:tc>
          <w:tcPr>
            <w:tcW w:type="dxa" w:w="32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19"/>
                <w:szCs w:val="19"/>
              </w:rPr>
              <w:t xml:space="preserve">js/data.js</w:t>
            </w:r>
          </w:p>
        </w:tc>
        <w:tc>
          <w:tcPr>
            <w:tcW w:type="dxa" w:w="61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Mock data store — replace with REST API calls in production</w:t>
            </w:r>
          </w:p>
        </w:tc>
      </w:tr>
      <w:tr>
        <w:tc>
          <w:tcPr>
            <w:tcW w:type="dxa" w:w="32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js/helpers.js</w:t>
            </w:r>
          </w:p>
        </w:tc>
        <w:tc>
          <w:tcPr>
            <w:tcW w:type="dxa" w:w="61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Shared render helpers — bioCards(), messagesPage(), alert_(), etc.</w:t>
            </w:r>
          </w:p>
        </w:tc>
      </w:tr>
      <w:tr>
        <w:tc>
          <w:tcPr>
            <w:tcW w:type="dxa" w:w="32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19"/>
                <w:szCs w:val="19"/>
              </w:rPr>
              <w:t xml:space="preserve">js/app.js</w:t>
            </w:r>
          </w:p>
        </w:tc>
        <w:tc>
          <w:tcPr>
            <w:tcW w:type="dxa" w:w="61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Core application — login, role detection, routing, sidebar, navigation</w:t>
            </w:r>
          </w:p>
        </w:tc>
      </w:tr>
      <w:tr>
        <w:tc>
          <w:tcPr>
            <w:tcW w:type="dxa" w:w="32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js/forgot-password.js</w:t>
            </w:r>
          </w:p>
        </w:tc>
        <w:tc>
          <w:tcPr>
            <w:tcW w:type="dxa" w:w="61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Password recovery module — role-specific multi-factor recovery flow</w:t>
            </w:r>
          </w:p>
        </w:tc>
      </w:tr>
      <w:tr>
        <w:tc>
          <w:tcPr>
            <w:tcW w:type="dxa" w:w="32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19"/>
                <w:szCs w:val="19"/>
              </w:rPr>
              <w:t xml:space="preserve">js/pages-admin.js</w:t>
            </w:r>
          </w:p>
        </w:tc>
        <w:tc>
          <w:tcPr>
            <w:tcW w:type="dxa" w:w="61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All Administrator portal page render functions</w:t>
            </w:r>
          </w:p>
        </w:tc>
      </w:tr>
      <w:tr>
        <w:tc>
          <w:tcPr>
            <w:tcW w:type="dxa" w:w="32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js/pages-vc.js</w:t>
            </w:r>
          </w:p>
        </w:tc>
        <w:tc>
          <w:tcPr>
            <w:tcW w:type="dxa" w:w="61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All Vice Chancellor portal page render functions</w:t>
            </w:r>
          </w:p>
        </w:tc>
      </w:tr>
      <w:tr>
        <w:tc>
          <w:tcPr>
            <w:tcW w:type="dxa" w:w="32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19"/>
                <w:szCs w:val="19"/>
              </w:rPr>
              <w:t xml:space="preserve">js/pages-lecturer.js</w:t>
            </w:r>
          </w:p>
        </w:tc>
        <w:tc>
          <w:tcPr>
            <w:tcW w:type="dxa" w:w="61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All Lecturer portal page functions + result submission logic</w:t>
            </w:r>
          </w:p>
        </w:tc>
      </w:tr>
      <w:tr>
        <w:tc>
          <w:tcPr>
            <w:tcW w:type="dxa" w:w="32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js/pages-student.js</w:t>
            </w:r>
          </w:p>
        </w:tc>
        <w:tc>
          <w:tcPr>
            <w:tcW w:type="dxa" w:w="61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All Student portal page render functions</w:t>
            </w:r>
          </w:p>
        </w:tc>
      </w:tr>
      <w:tr>
        <w:tc>
          <w:tcPr>
            <w:tcW w:type="dxa" w:w="32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19"/>
                <w:szCs w:val="19"/>
              </w:rPr>
              <w:t xml:space="preserve">js/plugins/[device].js</w:t>
            </w:r>
          </w:p>
        </w:tc>
        <w:tc>
          <w:tcPr>
            <w:tcW w:type="dxa" w:w="61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Hardware biometric plugins (not included — implement per device vendor)</w:t>
            </w:r>
          </w:p>
        </w:tc>
      </w:tr>
      <w:tr>
        <w:tc>
          <w:tcPr>
            <w:tcW w:type="dxa" w:w="324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docs/UNIUTY_SRS.docx</w:t>
            </w:r>
          </w:p>
        </w:tc>
        <w:tc>
          <w:tcPr>
            <w:tcW w:type="dxa" w:w="6120"/>
            <w:tcBorders>
              <w:top w:val="single" w:color="E2E4E8" w:sz="4"/>
              <w:left w:val="single" w:color="E2E4E8" w:sz="4"/>
              <w:bottom w:val="single" w:color="E2E4E8" w:sz="4"/>
              <w:right w:val="single" w:color="E2E4E8" w:sz="4"/>
            </w:tcBorders>
            <w:shd w:fill="FFFFFF" w:val="clear"/>
            <w:tcMar>
              <w:top w:type="dxa" w:w="80"/>
              <w:left w:type="dxa" w:w="120"/>
              <w:bottom w:type="dxa" w:w="80"/>
              <w:right w:type="dxa" w:w="120"/>
            </w:tcMar>
          </w:tcPr>
          <w:p>
            <w:r>
              <w:rPr>
                <w:rFonts w:ascii="Arial" w:cs="Arial" w:eastAsia="Arial" w:hAnsi="Arial"/>
                <w:sz w:val="21"/>
                <w:szCs w:val="21"/>
              </w:rPr>
              <w:t xml:space="preserve">This Software Requirements Specification document</w:t>
            </w:r>
          </w:p>
        </w:tc>
      </w:tr>
      <w:tr>
        <w:tc>
          <w:tcPr>
            <w:tcW w:type="dxa" w:w="324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Courier New" w:cs="Courier New" w:eastAsia="Courier New" w:hAnsi="Courier New"/>
                <w:sz w:val="19"/>
                <w:szCs w:val="19"/>
              </w:rPr>
              <w:t xml:space="preserve">docs/wireframes.html</w:t>
            </w:r>
          </w:p>
        </w:tc>
        <w:tc>
          <w:tcPr>
            <w:tcW w:type="dxa" w:w="6120"/>
            <w:tcBorders>
              <w:top w:val="single" w:color="E2E4E8" w:sz="4"/>
              <w:left w:val="single" w:color="E2E4E8" w:sz="4"/>
              <w:bottom w:val="single" w:color="E2E4E8" w:sz="4"/>
              <w:right w:val="single" w:color="E2E4E8" w:sz="4"/>
            </w:tcBorders>
            <w:shd w:fill="F9F9F7" w:val="clear"/>
            <w:tcMar>
              <w:top w:type="dxa" w:w="80"/>
              <w:left w:type="dxa" w:w="120"/>
              <w:bottom w:type="dxa" w:w="80"/>
              <w:right w:type="dxa" w:w="120"/>
            </w:tcMar>
          </w:tcPr>
          <w:p>
            <w:r>
              <w:rPr>
                <w:rFonts w:ascii="Arial" w:cs="Arial" w:eastAsia="Arial" w:hAnsi="Arial"/>
                <w:sz w:val="21"/>
                <w:szCs w:val="21"/>
              </w:rPr>
              <w:t xml:space="preserve">Interactive UI wireframes for all portal screens</w:t>
            </w:r>
          </w:p>
        </w:tc>
      </w:tr>
    </w:tbl>
    <w:p>
      <w:pPr>
        <w:spacing w:after="0" w:before="120"/>
      </w:pPr>
      <w:r>
        <w:t xml:space="preserve"/>
      </w:r>
    </w:p>
    <w:p>
      <w:pPr>
        <w:pBdr>
          <w:bottom w:val="single" w:color="C9A84C" w:sz="6" w:space="1"/>
        </w:pBdr>
        <w:spacing w:after="80" w:before="80"/>
      </w:pPr>
    </w:p>
    <w:p>
      <w:pPr>
        <w:spacing w:after="40" w:before="80"/>
        <w:jc w:val="center"/>
      </w:pPr>
      <w:r>
        <w:rPr>
          <w:rFonts w:ascii="Arial" w:cs="Arial" w:eastAsia="Arial" w:hAnsi="Arial"/>
          <w:i/>
          <w:iCs/>
          <w:color w:val="5A6475"/>
          <w:sz w:val="22"/>
          <w:szCs w:val="22"/>
        </w:rPr>
        <w:t xml:space="preserve">End of Document</w:t>
      </w:r>
    </w:p>
    <w:p>
      <w:pPr>
        <w:spacing w:after="40" w:before="0"/>
        <w:jc w:val="center"/>
      </w:pPr>
      <w:r>
        <w:rPr>
          <w:rFonts w:ascii="Arial" w:cs="Arial" w:eastAsia="Arial" w:hAnsi="Arial"/>
          <w:color w:val="5A6475"/>
          <w:sz w:val="18"/>
          <w:szCs w:val="18"/>
        </w:rPr>
        <w:t xml:space="preserve">UNIUTY-ICT-SRS-001 v1.0 | ICT Development Unit, University of Unity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4E8" w:sz="6" w:space="4"/>
      </w:pBdr>
      <w:tabs>
        <w:tab w:val="right" w:pos="9360"/>
      </w:tabs>
      <w:spacing w:after="0" w:before="80"/>
    </w:pPr>
    <w:r>
      <w:rPr>
        <w:rFonts w:ascii="Arial" w:cs="Arial" w:eastAsia="Arial" w:hAnsi="Arial"/>
        <w:color w:val="5A6475"/>
        <w:sz w:val="18"/>
        <w:szCs w:val="18"/>
      </w:rPr>
      <w:t xml:space="preserve">ICT Development Unit, UNIUTY</w:t>
    </w:r>
    <w:r>
      <w:rPr>
        <w:rFonts w:ascii="Arial" w:cs="Arial" w:eastAsia="Arial" w:hAnsi="Arial"/>
        <w:color w:val="5A6475"/>
        <w:sz w:val="18"/>
        <w:szCs w:val="18"/>
      </w:rPr>
      <w:t xml:space="preserve">	Page </w:t>
    </w:r>
    <w:r>
      <w:rPr>
        <w:rFonts w:ascii="Arial" w:cs="Arial" w:eastAsia="Arial" w:hAnsi="Arial"/>
        <w:color w:val="5A6475"/>
        <w:sz w:val="18"/>
        <w:szCs w:val="18"/>
      </w:rPr>
      <w:fldChar w:fldCharType="begin"/>
      <w:instrText xml:space="preserve">PAGE</w:instrText>
      <w:fldChar w:fldCharType="separate"/>
      <w:fldChar w:fldCharType="end"/>
    </w:r>
    <w:r>
      <w:rPr>
        <w:rFonts w:ascii="Arial" w:cs="Arial" w:eastAsia="Arial" w:hAnsi="Arial"/>
        <w:color w:val="5A6475"/>
        <w:sz w:val="18"/>
        <w:szCs w:val="18"/>
      </w:rPr>
      <w:t xml:space="preserve"> of </w:t>
    </w:r>
    <w:r>
      <w:rPr>
        <w:rFonts w:ascii="Arial" w:cs="Arial" w:eastAsia="Arial" w:hAnsi="Arial"/>
        <w:color w:val="5A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4E8" w:sz="6" w:space="4"/>
      </w:pBdr>
      <w:tabs>
        <w:tab w:val="right" w:pos="9360"/>
      </w:tabs>
      <w:spacing w:after="80" w:before="0"/>
    </w:pPr>
    <w:r>
      <w:rPr>
        <w:rFonts w:ascii="Arial" w:cs="Arial" w:eastAsia="Arial" w:hAnsi="Arial"/>
        <w:b/>
        <w:bCs/>
        <w:color w:val="0A1628"/>
        <w:sz w:val="18"/>
        <w:szCs w:val="18"/>
      </w:rPr>
      <w:t xml:space="preserve">UNIUTY University Portal</w:t>
    </w:r>
    <w:r>
      <w:rPr>
        <w:rFonts w:ascii="Arial" w:cs="Arial" w:eastAsia="Arial" w:hAnsi="Arial"/>
        <w:sz w:val="18"/>
        <w:szCs w:val="18"/>
      </w:rPr>
      <w:t xml:space="preserve">	</w:t>
    </w:r>
    <w:r>
      <w:rPr>
        <w:rFonts w:ascii="Arial" w:cs="Arial" w:eastAsia="Arial" w:hAnsi="Arial"/>
        <w:color w:val="5A6475"/>
        <w:sz w:val="18"/>
        <w:szCs w:val="18"/>
      </w:rPr>
      <w:t xml:space="preserve">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270"/>
      </w:pPr>
    </w:lvl>
  </w:abstractNum>
  <w:abstractNum w:abstractNumId="3" w15:restartNumberingAfterBreak="0">
    <w:multiLevelType w:val="hybridMultilevel"/>
    <w:lvl w:ilvl="0" w15:tentative="1">
      <w:start w:val="1"/>
      <w:numFmt w:val="bullet"/>
      <w:lvlText w:val="◦"/>
      <w:lvlJc w:val="left"/>
      <w:pPr>
        <w:spacing w:after="30" w:before="30"/>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8" w:space="4"/>
      </w:pBdr>
      <w:spacing w:after="16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A162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D4F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UNIUTY University Portal — Software Requirements Specification</dc:title>
  <dc:creator>ICT Development Unit, UNIUTY</dc:creator>
  <cp:lastModifiedBy>Un-named</cp:lastModifiedBy>
  <cp:revision>1</cp:revision>
  <dcterms:created xsi:type="dcterms:W3CDTF">2026-06-04T15:11:17.454Z</dcterms:created>
  <dcterms:modified xsi:type="dcterms:W3CDTF">2026-06-04T15:11:17.454Z</dcterms:modified>
</cp:coreProperties>
</file>

<file path=docProps/custom.xml><?xml version="1.0" encoding="utf-8"?>
<Properties xmlns="http://schemas.openxmlformats.org/officeDocument/2006/custom-properties" xmlns:vt="http://schemas.openxmlformats.org/officeDocument/2006/docPropsVTypes"/>
</file>