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DOP"/>
      </w:pPr>
      <w:r>
        <w:rPr>
          <w:rFonts w:ascii="Times New Roman" w:hAnsi="Times New Roman"/>
        </w:rPr>
      </w:r>
      <w:r>
        <w:t>Manuscript prepared for journal submission, July 2026.</w:t>
      </w:r>
    </w:p>
    <w:p>
      <w:pPr>
        <w:pStyle w:val="DOI"/>
      </w:pPr>
      <w:r>
        <w:rPr>
          <w:rFonts w:ascii="Times New Roman" w:hAnsi="Times New Roman"/>
        </w:rPr>
        <w:t>Digital Object Identifier: IEEE-assigned DOI pending acceptance.</w:t>
      </w:r>
    </w:p>
    <w:p>
      <w:pPr>
        <w:pStyle w:val="PaperTitle"/>
        <w:jc w:val="center"/>
      </w:pPr>
      <w:r>
        <w:rPr>
          <w:rFonts w:ascii="Times New Roman" w:hAnsi="Times New Roman"/>
        </w:rPr>
        <w:t>A Reproducible Utility Framework for Agent-Count Stopping in Bounded Collective Systems</w:t>
      </w:r>
    </w:p>
    <w:p>
      <w:pPr>
        <w:pStyle w:val="AU"/>
        <w:jc w:val="center"/>
      </w:pPr>
      <w:r>
        <w:rPr>
          <w:rFonts w:ascii="Times New Roman" w:hAnsi="Times New Roman"/>
        </w:rPr>
        <w:t>BongKeun Song</w:t>
      </w:r>
    </w:p>
    <w:p>
      <w:pPr>
        <w:pStyle w:val="PINoSpace"/>
        <w:jc w:val="center"/>
      </w:pPr>
      <w:r>
        <w:rPr>
          <w:rFonts w:ascii="Times New Roman" w:hAnsi="Times New Roman"/>
        </w:rPr>
        <w:t>Friedrich-Alexander-Universität Erlangen-Nürnberg (FAU), Erlangen, Germany</w:t>
      </w:r>
    </w:p>
    <w:p>
      <w:pPr>
        <w:pStyle w:val="PI"/>
        <w:jc w:val="center"/>
      </w:pPr>
      <w:r>
        <w:rPr>
          <w:rFonts w:ascii="Times New Roman" w:hAnsi="Times New Roman"/>
        </w:rPr>
        <w:t>Corresponding author: BongKeun Song (e-mail: bongkeun.song@fau.de).</w:t>
      </w:r>
    </w:p>
    <w:p>
      <w:pPr>
        <w:pStyle w:val="FootnoteText"/>
      </w:pPr>
      <w:r>
        <w:rPr>
          <w:rFonts w:ascii="Times New Roman" w:hAnsi="Times New Roman"/>
        </w:rPr>
        <w:t>This work was conducted as a secondary analysis of public datasets and previously published or extracted benchmark results. No new human-subject experiment was conducted.</w:t>
      </w:r>
    </w:p>
    <w:p>
      <w:pPr>
        <w:pStyle w:val="Abstract"/>
      </w:pPr>
      <w:r>
        <w:rPr>
          <w:rFonts w:ascii="Times New Roman" w:hAnsi="Times New Roman"/>
          <w:sz w:val="15"/>
        </w:rPr>
      </w:r>
      <w:r>
        <w:t>ABSTRACT Collective systems often improve as additional agents, annotators, or robots are added, but bounded performance creates a practical stopping problem: the statistically best attainable performance may occur later than the cost-aware operating point. This article presents a reproducible utility framework for agent-count stopping in bounded collective systems. The framework defines N* as the agent count that maximizes normalized performance net of deployment cost, separates retrograde systems with a peak reference N_peak from monotone-saturating systems with an operational saturation reference N_95, and reports budget sensitivity explicitly. The final raw-bootstrap closure uses CIFAR-10H as a controlled gold-accuracy validation domain and ChaosNLI as a semantic reference-distribution recovery domain; both yielded identifiable N_95 references (22 and 27, respectively). Snapshot Serengeti is retained as supporting citizen-science evidence. Bingöl/USL is included as an analytical retrograde benchmark, Snow et al. as a marginal-gain to utility-stopping bridge, and Nitti et al. as boundary/admissibility stress-test evidence. The results support a conservative engineering interpretation: the framework estimates budget-aware operating regions and sensitivity to reference and budget choices, not a universal stopping constant.</w:t>
      </w:r>
    </w:p>
    <w:p>
      <w:pPr>
        <w:pStyle w:val="IT"/>
      </w:pPr>
      <w:r>
        <w:rPr>
          <w:rFonts w:ascii="Times New Roman" w:hAnsi="Times New Roman"/>
          <w:sz w:val="15"/>
        </w:rPr>
        <w:t>INDEX TERMS collective intelligence, crowdsourcing, swarm robotics, utility optimization, optimal stopping, budget sensitivity, uncertainty quantification, reproducibility.</w:t>
      </w:r>
    </w:p>
    <w:p>
      <w:pPr>
        <w:sectPr>
          <w:footerReference w:type="default" r:id="rId25"/>
          <w:headerReference w:type="default" r:id="rId28"/>
          <w:type w:val="continuous"/>
          <w:pgSz w:w="11520" w:h="15660" w:code="1"/>
          <w:pgMar w:top="922" w:right="533" w:bottom="749" w:left="533" w:header="360" w:footer="640" w:gutter="0"/>
          <w:cols w:num="1" w:space="720"/>
          <w:docGrid w:linePitch="360"/>
        </w:sectPr>
      </w:pPr>
    </w:p>
    <w:p>
      <w:pPr>
        <w:pStyle w:val="H1ListSpace"/>
      </w:pPr>
      <w:r>
        <w:rPr>
          <w:rFonts w:ascii="Times New Roman" w:hAnsi="Times New Roman"/>
        </w:rPr>
        <w:t>INTRODUCTION</w:t>
      </w:r>
    </w:p>
    <w:p>
      <w:pPr>
        <w:pStyle w:val="PARA"/>
      </w:pPr>
      <w:r>
        <w:rPr>
          <w:rFonts w:ascii="Times New Roman" w:hAnsi="Times New Roman"/>
          <w:sz w:val="16"/>
        </w:rPr>
        <w:t>Collective systems are frequently scaled by adding more agents, annotators, robots, or independent judgments. In many settings, the statistical performance curve continues to improve with N, but the practical operating decision is not whether improvement is still measurable. The decision is whether the next unit of collective input is worth its deployment or annotation cost.</w:t>
      </w:r>
    </w:p>
    <w:p>
      <w:pPr>
        <w:pStyle w:val="PARAIndent"/>
      </w:pPr>
      <w:r>
        <w:rPr>
          <w:rFonts w:ascii="Times New Roman" w:hAnsi="Times New Roman"/>
          <w:sz w:val="16"/>
        </w:rPr>
        <w:t>This paper treats that decision as an agent-count stopping problem. Given a performance curve C(N), we define a cost-aware operating point N* by maximizing normalized performance net of a budget-normalized cost. The purpose is not to claim a universal stopping constant. The purpose is to make the stopping implication of bounded performance curves explicit, reproducible, and auditable.</w:t>
      </w:r>
    </w:p>
    <w:p>
      <w:pPr>
        <w:pStyle w:val="PARAIndent"/>
      </w:pPr>
      <w:r>
        <w:rPr>
          <w:rFonts w:ascii="Times New Roman" w:hAnsi="Times New Roman"/>
          <w:sz w:val="16"/>
        </w:rPr>
      </w:r>
      <w:r>
        <w:t>A reviewer can reasonably argue that positive cost induces early stopping under concavity. The contribution here is therefore not the existence of early stopping in the abstract, but the reproducible estimation of where the operating point lies, how it changes with the performance-cost weight λ, and how it depends on reference definitions and deployment budgets.</w:t>
      </w:r>
    </w:p>
    <w:p>
      <w:pPr>
        <w:pStyle w:val="PARAIndent"/>
      </w:pPr>
      <w:r>
        <w:rPr>
          <w:rFonts w:ascii="Times New Roman" w:hAnsi="Times New Roman"/>
          <w:sz w:val="16"/>
        </w:rPr>
      </w:r>
      <w:r/>
      <w:r>
        <w:rPr>
          <w:rFonts w:ascii="Times New Roman" w:hAnsi="Times New Roman"/>
        </w:rPr>
        <w:t>A key feature of the framework is that it does not treat all systems as sharing one N*/N_peak ratio. Retrograde systems, such as Universal Scalability Law (USL) curves with coherence overhead, have an identifiable N_peak. Monotone-saturating systems, such as crowd-annotation and distribution-recovery data, require an operational saturation reference such as N_95. This separation prevents a false equivalence between performance decline and performance saturation.</w:t>
      </w:r>
    </w:p>
    <w:p>
      <w:pPr>
        <w:pStyle w:val="PARAIndent"/>
      </w:pPr>
      <w:r>
        <w:rPr>
          <w:rFonts w:ascii="Times New Roman" w:hAnsi="Times New Roman"/>
          <w:sz w:val="16"/>
        </w:rPr>
      </w:r>
      <w:r/>
      <w:r>
        <w:rPr>
          <w:rFonts w:ascii="Times New Roman" w:hAnsi="Times New Roman"/>
        </w:rPr>
        <w:t>The empirical and analytical evidence is organized in tiers. CIFAR-10H and ChaosNLI provide the final raw hierarchical-bootstrap primary closure. Snapshot Serengeti provides supporting citizen-science evidence. Bingöl/USL is retained as an analytical retrograde benchmark, Snow et al. as a bridge between marginal-gain and utility stopping, and Nitti et al. as boundary evidence. This structure preserves the breadth of the original framework while avoiding the overclaim that every component has the same reproducibility status.</w:t>
      </w:r>
    </w:p>
    <w:p>
      <w:pPr>
        <w:pStyle w:val="H1ListSpace"/>
      </w:pPr>
      <w:r>
        <w:rPr>
          <w:rFonts w:ascii="Times New Roman" w:hAnsi="Times New Roman"/>
        </w:rPr>
        <w:t>RELATED WORK</w:t>
      </w:r>
    </w:p>
    <w:p>
      <w:pPr>
        <w:spacing w:before="120" w:after="60"/>
      </w:pPr>
      <w:r>
        <w:rPr>
          <w:rFonts w:ascii="Times New Roman" w:hAnsi="Times New Roman"/>
        </w:rPr>
      </w:r>
      <w:r>
        <w:rPr>
          <w:b/>
        </w:rPr>
        <w:t>A. BOUNDED SCALABILITY AND COLLECTIVE PERFORMANCE</w:t>
      </w:r>
    </w:p>
    <w:p>
      <w:pPr>
        <w:pStyle w:val="PARAIndent"/>
      </w:pPr>
      <w:r>
        <w:rPr>
          <w:rFonts w:ascii="Times New Roman" w:hAnsi="Times New Roman"/>
          <w:sz w:val="16"/>
        </w:rPr>
      </w:r>
      <w:r>
        <w:t>Bounded scalability appears in collective intelligence, robot swarms, crowdsourced annotation, citizen science, distributed sensing, and parallel systems [1], [2]. Classical aggregation results motivate the use of multiple independent judgments, but deployed systems face correlated errors, redundancy, finite task difficulty, communication overhead, and physical interference.</w:t>
      </w:r>
    </w:p>
    <w:p>
      <w:pPr>
        <w:pStyle w:val="PARAIndent"/>
      </w:pPr>
      <w:r>
        <w:rPr>
          <w:rFonts w:ascii="Times New Roman" w:hAnsi="Times New Roman"/>
          <w:sz w:val="16"/>
        </w:rPr>
      </w:r>
      <w:r>
        <w:t>In robotic and computational systems, the Universal Scalability Law provides a compact description of linear, saturating, and retrograde scalability [2], [3]. In the retrograde case, performance improves initially, reaches a peak, and then declines when additional agents impose coordination or interference costs. This makes N_peak a meaningful reference for stopping.</w:t>
      </w:r>
    </w:p>
    <w:p>
      <w:pPr>
        <w:spacing w:before="120" w:after="60"/>
      </w:pPr>
      <w:r>
        <w:rPr>
          <w:rFonts w:ascii="Times New Roman" w:hAnsi="Times New Roman"/>
        </w:rPr>
      </w:r>
      <w:r>
        <w:rPr>
          <w:b/>
        </w:rPr>
        <w:t>B. HUMAN JUDGMENT AND DISTRIBUTION RECOVERY</w:t>
      </w:r>
    </w:p>
    <w:p>
      <w:pPr>
        <w:pStyle w:val="PARAIndent"/>
      </w:pPr>
      <w:r>
        <w:rPr>
          <w:rFonts w:ascii="Times New Roman" w:hAnsi="Times New Roman"/>
          <w:sz w:val="16"/>
        </w:rPr>
      </w:r>
      <w:r>
        <w:t>Human-annotation datasets increasingly show that disagreement is not merely noise. CIFAR-10H provides distributions of human labels over CIFAR-10 test images and supports both gold-accuracy and distribution-sensitive analyses [4]. ChaosNLI provides many human labels per natural-language inference example and is more naturally analyzed as reference-distribution recovery than as single-label accuracy [5].</w:t>
      </w:r>
    </w:p>
    <w:p>
      <w:pPr>
        <w:pStyle w:val="PARAIndent"/>
      </w:pPr>
      <w:r>
        <w:rPr>
          <w:rFonts w:ascii="Times New Roman" w:hAnsi="Times New Roman"/>
          <w:sz w:val="16"/>
        </w:rPr>
      </w:r>
      <w:r>
        <w:t>Citizen-science data add a different source of evidence. Snapshot Serengeti supplies volunteer classifications and an expert-gold subset from a deployed ecological classification platform [6]. Because the expert-gold subset and species-set transformation introduce task-specific constraints, it is used as supporting evidence rather than as a co-primary validation domain.</w:t>
      </w:r>
    </w:p>
    <w:p>
      <w:pPr>
        <w:spacing w:before="120" w:after="60"/>
      </w:pPr>
      <w:r>
        <w:rPr>
          <w:rFonts w:ascii="Times New Roman" w:hAnsi="Times New Roman"/>
        </w:rPr>
      </w:r>
      <w:r>
        <w:rPr>
          <w:b/>
        </w:rPr>
        <w:t>C. OPTIMAL STOPPING AND BUDGET-AWARE DESIGN</w:t>
      </w:r>
    </w:p>
    <w:p>
      <w:pPr>
        <w:pStyle w:val="PARAIndent"/>
      </w:pPr>
      <w:r>
        <w:rPr>
          <w:rFonts w:ascii="Times New Roman" w:hAnsi="Times New Roman"/>
          <w:sz w:val="16"/>
        </w:rPr>
      </w:r>
      <w:r>
        <w:t>Optimal stopping and budget allocation literatures formalize when additional sampling or resource allocation is no longer justified [7], [8], [9]. Many empirical collective-system studies report performance curves, but do not convert them into explicit operating-point decisions with uncertainty and budget sensitivity. The present work bridges this gap for bounded collective systems.</w:t>
      </w:r>
    </w:p>
    <w:p>
      <w:pPr>
        <w:pStyle w:val="H1ListSpace"/>
      </w:pPr>
      <w:r>
        <w:rPr>
          <w:rFonts w:ascii="Times New Roman" w:hAnsi="Times New Roman"/>
        </w:rPr>
        <w:t>UTILITY FRAMEWORK</w:t>
      </w:r>
    </w:p>
    <w:p>
      <w:pPr>
        <w:spacing w:before="120" w:after="60"/>
      </w:pPr>
      <w:r>
        <w:rPr>
          <w:rFonts w:ascii="Times New Roman" w:hAnsi="Times New Roman"/>
        </w:rPr>
      </w:r>
      <w:r>
        <w:rPr>
          <w:b/>
        </w:rPr>
        <w:t>A. PERFORMANCE REFERENCES</w:t>
      </w:r>
    </w:p>
    <w:p>
      <w:pPr>
        <w:pStyle w:val="PARA"/>
      </w:pPr>
      <w:r>
        <w:rPr>
          <w:rFonts w:ascii="Times New Roman" w:hAnsi="Times New Roman"/>
          <w:sz w:val="16"/>
        </w:rPr>
      </w:r>
      <w:r>
        <w:t>Let C(N) denote the expected performance obtained using N agents, annotators, or judgments. For retrograde systems, the relevant reference is the peak N_peak. For monotone-saturating systems, the central reference is N_95, the smallest N at which fitted performance reaches 95% of the fitted asymptotic reference. N_90 and N_99 are retained only as sensitivity references.</w:t>
      </w:r>
    </w:p>
    <w:p>
      <w:pPr>
        <w:pStyle w:val="Equation"/>
      </w:pPr>
      <w:r>
        <w:rPr>
          <w:rFonts w:ascii="Times New Roman" w:hAnsi="Times New Roman"/>
        </w:rPr>
      </w:r>
      <w:r>
        <w:t>The reference is selected by regime: N_ref = N_peak for retrograde systems, and N_ref = N_95 for monotone-saturating systems.</w:t>
      </w:r>
    </w:p>
    <w:p>
      <w:pPr>
        <w:spacing w:before="120" w:after="60"/>
      </w:pPr>
      <w:r>
        <w:rPr>
          <w:rFonts w:ascii="Times New Roman" w:hAnsi="Times New Roman"/>
        </w:rPr>
      </w:r>
      <w:r>
        <w:rPr>
          <w:b/>
        </w:rPr>
        <w:t>B. NORMALIZED UTILITY</w:t>
      </w:r>
    </w:p>
    <w:p>
      <w:pPr>
        <w:pStyle w:val="PARA"/>
      </w:pPr>
      <w:r>
        <w:rPr>
          <w:rFonts w:ascii="Times New Roman" w:hAnsi="Times New Roman"/>
          <w:sz w:val="16"/>
        </w:rPr>
        <w:t>The cost-aware operating point is defined by a normalized utility function:</w:t>
      </w:r>
    </w:p>
    <w:p>
      <w:pPr>
        <w:pStyle w:val="Equation"/>
        <w:jc w:val="center"/>
      </w:pPr>
      <w:r>
        <w:rPr>
          <w:rFonts w:ascii="Times New Roman" w:hAnsi="Times New Roman"/>
          <w:sz w:val="18"/>
        </w:rPr>
        <w:t>U(N) = λ C̃(N) − (1 − λ) N / N_budget.        (1)</w:t>
      </w:r>
    </w:p>
    <w:p>
      <w:pPr>
        <w:jc w:val="center"/>
      </w:pPr>
      <w:r>
        <w:rPr>
          <w:rFonts w:ascii="Times New Roman" w:hAnsi="Times New Roman"/>
          <w:sz w:val="18"/>
        </w:rPr>
        <w:t>N* = arg max_N U(N).        (2)</w:t>
      </w:r>
    </w:p>
    <w:p>
      <w:pPr>
        <w:pStyle w:val="PARAIndent"/>
      </w:pPr>
      <w:r>
        <w:rPr>
          <w:rFonts w:ascii="Times New Roman" w:hAnsi="Times New Roman"/>
          <w:sz w:val="16"/>
        </w:rPr>
      </w:r>
      <w:r/>
      <w:r>
        <w:rPr>
          <w:rFonts w:ascii="Times New Roman" w:hAnsi="Times New Roman"/>
        </w:rPr>
        <w:t>Here C̃(N) is a normalized performance curve, λ in [0,1] weights performance relative to cost, and N_budget is an explicit deployment or annotation budget. The output is therefore budget-aware by construction; it should not be interpreted as a budget-invariant universal optimum.</w:t>
      </w:r>
    </w:p>
    <w:p>
      <w:pPr>
        <w:spacing w:before="120" w:after="60"/>
      </w:pPr>
      <w:r>
        <w:rPr>
          <w:rFonts w:ascii="Times New Roman" w:hAnsi="Times New Roman"/>
        </w:rPr>
      </w:r>
      <w:r>
        <w:rPr>
          <w:b/>
        </w:rPr>
        <w:t>C. EVIDENCE TIERS</w:t>
      </w:r>
    </w:p>
    <w:p>
      <w:pPr>
        <w:pStyle w:val="PARAIndent"/>
      </w:pPr>
      <w:r>
        <w:rPr>
          <w:rFonts w:ascii="Times New Roman" w:hAnsi="Times New Roman"/>
          <w:sz w:val="16"/>
        </w:rPr>
      </w:r>
      <w:r>
        <w:t>See Table I.</w:t>
      </w:r>
    </w:p>
    <w:p>
      <w:pPr>
        <w:pStyle w:val="H1ListSpace"/>
      </w:pPr>
      <w:r>
        <w:rPr>
          <w:rFonts w:ascii="Times New Roman" w:hAnsi="Times New Roman"/>
        </w:rPr>
        <w:t>DATA AND ANALYSIS PIPELINE</w:t>
      </w:r>
    </w:p>
    <w:p>
      <w:pPr>
        <w:spacing w:before="120" w:after="60"/>
      </w:pPr>
      <w:r>
        <w:rPr>
          <w:rFonts w:ascii="Times New Roman" w:hAnsi="Times New Roman"/>
        </w:rPr>
      </w:r>
      <w:r>
        <w:rPr>
          <w:b/>
        </w:rPr>
        <w:t>A. PRIMARY RAW-BOOTSTRAP CLOSURE</w:t>
      </w:r>
    </w:p>
    <w:p>
      <w:pPr>
        <w:pStyle w:val="PARA"/>
      </w:pPr>
      <w:r>
        <w:rPr>
          <w:rFonts w:ascii="Times New Roman" w:hAnsi="Times New Roman"/>
          <w:sz w:val="16"/>
        </w:rPr>
      </w:r>
      <w:r>
        <w:t>The primary final raw-bootstrap closure is limited to CIFAR-10H gold accuracy and ChaosNLI reference-distribution recovery [4], [5]. Snapshot Serengeti was processed through the same fitted-saturation machinery as supporting field evidence, but it is not treated as a co-primary validation domain [6]. Bootstrap uncertainty follows standard resampling practice [10], [11]. Fitted families included Michaelis, logarithmic saturation, and inverse-square-root forms; nonlinear fits and AIC-based comparisons were used as model-selection diagnostics [12], [13]. N_95 is defined here as a paper-specific operational saturation reference; N_90 and N_99 are retained as sensitivity references.</w:t>
      </w:r>
    </w:p>
    <w:p>
      <w:pPr>
        <w:pStyle w:val="PARAIndent"/>
      </w:pPr>
      <w:r>
        <w:rPr>
          <w:rFonts w:ascii="Times New Roman" w:hAnsi="Times New Roman"/>
          <w:sz w:val="16"/>
        </w:rPr>
        <w:t>CIFAR-10H is evaluated in gold-accuracy mode as a primary final raw-bootstrap validation domain. ChaosNLI is evaluated only in reference-distribution recovery mode as the second primary final raw-bootstrap validation domain, using a distance-based C(N) rather than a gold-accuracy interpretation. Snapshot Serengeti is evaluated in gold-accuracy mode as supporting field evidence only, because its expert-gold subset and species-set transformation impose task-specific constraints.</w:t>
      </w:r>
    </w:p>
    <w:p>
      <w:pPr>
        <w:spacing w:before="120" w:after="60"/>
      </w:pPr>
      <w:r>
        <w:rPr>
          <w:rFonts w:ascii="Times New Roman" w:hAnsi="Times New Roman"/>
        </w:rPr>
      </w:r>
      <w:r>
        <w:rPr>
          <w:b/>
        </w:rPr>
        <w:t>B. ANALYTICAL AND CONTEXTUAL COMPONENTS</w:t>
      </w:r>
    </w:p>
    <w:p>
      <w:pPr>
        <w:pStyle w:val="PARA"/>
      </w:pPr>
      <w:r>
        <w:rPr>
          <w:rFonts w:ascii="Times New Roman" w:hAnsi="Times New Roman"/>
          <w:sz w:val="16"/>
        </w:rPr>
      </w:r>
      <w:r/>
      <w:r>
        <w:rPr>
          <w:rFonts w:ascii="Times New Roman" w:hAnsi="Times New Roman"/>
        </w:rPr>
        <w:t>The final raw-bootstrap closure was restricted to the augmented datasets with standardized bootstrap products. Bingöl/USL, Snow, and Nitti are therefore not promoted to primary final raw-bootstrap validation. They are retained in explicitly lower-tier roles: Bingöl/USL as an analytical retrograde benchmark reconstructed from published parameters [14], Snow as an epsilon-stopping to utility-stopping bridge [15], and Nitti et al. as a boundary/admissibility stress test based on supplementary benchmark data [16].</w:t>
      </w:r>
    </w:p>
    <w:p>
      <w:pPr>
        <w:pStyle w:val="PARAIndent"/>
      </w:pPr>
      <w:r>
        <w:rPr>
          <w:rFonts w:ascii="Times New Roman" w:hAnsi="Times New Roman"/>
          <w:sz w:val="16"/>
        </w:rPr>
      </w:r>
      <w:r/>
      <w:r>
        <w:t>See Table I.</w:t>
      </w:r>
    </w:p>
    <w:p>
      <w:pPr>
        <w:pStyle w:val="H1ListSpace"/>
      </w:pPr>
      <w:r>
        <w:rPr>
          <w:rFonts w:ascii="Times New Roman" w:hAnsi="Times New Roman"/>
        </w:rPr>
        <w:t>RESULTS</w:t>
      </w:r>
    </w:p>
    <w:p>
      <w:pPr>
        <w:spacing w:before="120" w:after="60"/>
      </w:pPr>
      <w:r>
        <w:rPr>
          <w:rFonts w:ascii="Times New Roman" w:hAnsi="Times New Roman"/>
        </w:rPr>
      </w:r>
      <w:r>
        <w:rPr>
          <w:b/>
        </w:rPr>
      </w:r>
      <w:r>
        <w:rPr>
          <w:b/>
        </w:rPr>
        <w:t>A. PRIMARY DATASETS HAD IDENTIFIABLE N_95 REFERENCES</w:t>
      </w:r>
    </w:p>
    <w:p>
      <w:pPr>
        <w:pStyle w:val="PARA"/>
      </w:pPr>
      <w:r>
        <w:rPr>
          <w:rFonts w:ascii="Times New Roman" w:hAnsi="Times New Roman"/>
          <w:sz w:val="16"/>
        </w:rPr>
      </w:r>
      <w:r>
        <w:t>The final raw-bootstrap closure identified central N_95 references for the two primary datasets. CIFAR-10H gold accuracy reached N_95=22 with a degenerate bootstrap interval [22,22], reflecting a highly stable controlled visual-judgment curve. ChaosNLI reference-distribution recovery reached N_95=27 with interval [26,31], reflecting a broader semantic-disagreement domain. Snapshot Serengeti reached N_95=30 [29,31] and is retained as supporting citizen-science evidence.</w:t>
      </w:r>
    </w:p>
    <w:p>
      <w:pPr>
        <w:pStyle w:val="PARAIndent"/>
      </w:pPr>
      <w:r>
        <w:rPr>
          <w:rFonts w:ascii="Times New Roman" w:hAnsi="Times New Roman"/>
          <w:sz w:val="16"/>
        </w:rPr>
      </w:r>
      <w:r>
        <w:t>See Fig. 1.</w:t>
      </w:r>
    </w:p>
    <w:p>
      <w:pPr>
        <w:spacing w:before="120" w:after="60"/>
      </w:pPr>
      <w:r>
        <w:rPr>
          <w:rFonts w:ascii="Times New Roman" w:hAnsi="Times New Roman"/>
        </w:rPr>
      </w:r>
      <w:r>
        <w:rPr>
          <w:b/>
        </w:rPr>
        <w:t>B. UTILITY OPTIMA WERE COHERENT BUT BUDGET-AWARE</w:t>
      </w:r>
    </w:p>
    <w:p>
      <w:pPr>
        <w:pStyle w:val="PARA"/>
      </w:pPr>
      <w:r>
        <w:rPr>
          <w:rFonts w:ascii="Times New Roman" w:hAnsi="Times New Roman"/>
          <w:sz w:val="16"/>
        </w:rPr>
      </w:r>
      <w:r>
        <w:t>For the two primary datasets, N*(λ) increased monotonically under observed-maximum budgets. Central λ values supported stopping before N_95. However, high performance weighting exposed budget sensitivity in CIFAR-10H: at λ=0.90, observed and fixed-cap budgets did not preserve early stopping before N_95, whereas the N_95-relative budget did. This is why the manuscript is framed as an engineering framework rather than a science-first universal-law paper.</w:t>
      </w:r>
    </w:p>
    <w:p>
      <w:pPr>
        <w:pStyle w:val="PARAIndent"/>
      </w:pPr>
      <w:r>
        <w:rPr>
          <w:rFonts w:ascii="Times New Roman" w:hAnsi="Times New Roman"/>
          <w:sz w:val="16"/>
        </w:rPr>
      </w:r>
      <w:r>
        <w:t>See Fig. 2.</w:t>
      </w:r>
    </w:p>
    <w:p>
      <w:pPr>
        <w:pStyle w:val="PARAIndent"/>
      </w:pPr>
      <w:r>
        <w:rPr>
          <w:rFonts w:ascii="Times New Roman" w:hAnsi="Times New Roman"/>
          <w:sz w:val="16"/>
        </w:rPr>
      </w:r>
      <w:r>
        <w:t>See Fig. 3.</w:t>
      </w:r>
    </w:p>
    <w:p>
      <w:pPr>
        <w:pStyle w:val="PARAIndent"/>
      </w:pPr>
      <w:r>
        <w:rPr>
          <w:rFonts w:ascii="Times New Roman" w:hAnsi="Times New Roman"/>
          <w:sz w:val="16"/>
        </w:rPr>
      </w:r>
      <w:r>
        <w:t>See Table III.</w:t>
      </w:r>
    </w:p>
    <w:p>
      <w:pPr>
        <w:spacing w:before="120" w:after="60"/>
      </w:pPr>
      <w:r>
        <w:rPr>
          <w:rFonts w:ascii="Times New Roman" w:hAnsi="Times New Roman"/>
        </w:rPr>
      </w:r>
      <w:r>
        <w:rPr>
          <w:b/>
        </w:rPr>
        <w:t>C. BINGÖL/USL RECOVERS THE RETROGRADE BRANCH</w:t>
      </w:r>
    </w:p>
    <w:p>
      <w:pPr>
        <w:pStyle w:val="PARA"/>
      </w:pPr>
      <w:r>
        <w:rPr>
          <w:rFonts w:ascii="Times New Roman" w:hAnsi="Times New Roman"/>
          <w:sz w:val="16"/>
        </w:rPr>
      </w:r>
      <w:r/>
      <w:r/>
      <w:r>
        <w:t>The Bingöl/USL outputs provide the retrograde component of the framework [14]. The USL conditions have identifiable analytical N_peak values ranging from about 13.00 to 28.72, and the utility-optimal N* occurs before N_peak for all reported λ values. This supports the N*/N_peak branch of the framework. Because these outputs were reconstructed from published parameters rather than included in the final raw-bootstrap closure, they are presented as an analytical benchmark rather than as co-primary empirical evidence.</w:t>
      </w:r>
    </w:p>
    <w:p>
      <w:pPr>
        <w:pStyle w:val="PARAIndent"/>
      </w:pPr>
      <w:r>
        <w:rPr>
          <w:rFonts w:ascii="Times New Roman" w:hAnsi="Times New Roman"/>
          <w:sz w:val="16"/>
        </w:rPr>
      </w:r>
      <w:r>
        <w:t>See Fig. 4.</w:t>
      </w:r>
    </w:p>
    <w:p>
      <w:pPr>
        <w:pStyle w:val="PARAIndent"/>
      </w:pPr>
      <w:r>
        <w:rPr>
          <w:rFonts w:ascii="Times New Roman" w:hAnsi="Times New Roman"/>
          <w:sz w:val="16"/>
        </w:rPr>
      </w:r>
      <w:r>
        <w:t>See Table IV.</w:t>
      </w:r>
    </w:p>
    <w:p>
      <w:pPr>
        <w:spacing w:before="120" w:after="60"/>
      </w:pPr>
      <w:r>
        <w:rPr>
          <w:rFonts w:ascii="Times New Roman" w:hAnsi="Times New Roman"/>
        </w:rPr>
      </w:r>
      <w:r>
        <w:rPr>
          <w:b/>
        </w:rPr>
        <w:t>D. SNOW BRIDGES MARGINAL-GAIN AND UTILITY STOPPING</w:t>
      </w:r>
    </w:p>
    <w:p>
      <w:pPr>
        <w:pStyle w:val="PARA"/>
      </w:pPr>
      <w:r>
        <w:rPr>
          <w:rFonts w:ascii="Times New Roman" w:hAnsi="Times New Roman"/>
          <w:sz w:val="16"/>
        </w:rPr>
      </w:r>
      <w:r>
        <w:t>The Snow analysis is retained as a bridge, not as a primary validation domain [15]. Digitized Snow task curves produced valid epsilon-stopping to utility-stopping correspondences across the analyzed tasks, with λ-equivalent values approximately in the 0.81-0.94 range. Some tasks require extrapolated ceilings and should therefore not carry the primary claim. The appropriate use is to show that an existing marginal-gain stopping criterion can be expressed within the utility framework.</w:t>
      </w:r>
    </w:p>
    <w:p>
      <w:pPr>
        <w:pStyle w:val="PARAIndent"/>
      </w:pPr>
      <w:r>
        <w:rPr>
          <w:rFonts w:ascii="Times New Roman" w:hAnsi="Times New Roman"/>
          <w:sz w:val="16"/>
        </w:rPr>
      </w:r>
      <w:r>
        <w:t>See Table V.</w:t>
      </w:r>
    </w:p>
    <w:p>
      <w:pPr>
        <w:spacing w:before="120" w:after="60"/>
      </w:pPr>
      <w:r>
        <w:rPr>
          <w:rFonts w:ascii="Times New Roman" w:hAnsi="Times New Roman"/>
        </w:rPr>
      </w:r>
      <w:r>
        <w:rPr>
          <w:b/>
        </w:rPr>
        <w:t>E. NITTI ACTS AS BOUNDARY AND ADMISSIBILITY EVIDENCE</w:t>
      </w:r>
    </w:p>
    <w:p>
      <w:pPr>
        <w:pStyle w:val="PARA"/>
      </w:pPr>
      <w:r>
        <w:rPr>
          <w:rFonts w:ascii="Times New Roman" w:hAnsi="Times New Roman"/>
          <w:sz w:val="16"/>
        </w:rPr>
      </w:r>
      <w:r/>
      <w:r>
        <w:rPr>
          <w:rFonts w:ascii="Times New Roman" w:hAnsi="Times New Roman"/>
        </w:rPr>
        <w:t>The Nitti supplementary-benchmark reanalysis is informative because it does not uniformly validate the framework [16]. Across 63 algorithm-function sheets, 32 passed the inverse-square-root R2&gt;0.70 screen, 48 had valid epsilon-utility bridges, and 27 passed the conservative boundary checklist. Utility-optimal early stopping occurred in 63/63, 63/63, 63/63, and 61/63 sheets for λ values 0.3, 0.5, 0.7, and 0.9, respectively. This pattern is useful as boundary evidence: it shows that early stopping can be frequent even when curve admissibility and monotonicity are not universally satisfied.</w:t>
      </w:r>
    </w:p>
    <w:p>
      <w:pPr>
        <w:pStyle w:val="PARAIndent"/>
      </w:pPr>
      <w:r>
        <w:rPr>
          <w:rFonts w:ascii="Times New Roman" w:hAnsi="Times New Roman"/>
          <w:sz w:val="16"/>
        </w:rPr>
      </w:r>
      <w:r>
        <w:t>See Table VI.</w:t>
      </w:r>
    </w:p>
    <w:p>
      <w:pPr>
        <w:spacing w:before="120" w:after="60"/>
      </w:pPr>
      <w:r>
        <w:rPr>
          <w:rFonts w:ascii="Times New Roman" w:hAnsi="Times New Roman"/>
        </w:rPr>
      </w:r>
      <w:r>
        <w:rPr>
          <w:b/>
        </w:rPr>
        <w:t>F. ROBUSTNESS ANALYSES SUPPORT A BOUNDED-FAMILY INTERPRETATION</w:t>
      </w:r>
    </w:p>
    <w:p>
      <w:pPr>
        <w:pStyle w:val="PARA"/>
      </w:pPr>
      <w:r>
        <w:rPr>
          <w:rFonts w:ascii="Times New Roman" w:hAnsi="Times New Roman"/>
          <w:sz w:val="16"/>
        </w:rPr>
      </w:r>
      <w:r>
        <w:t>The utility-family robustness file shows that Bingöl early stopping is preserved across linear, quadratic, logarithmic-utility, and exponential-cost utility families [14]. For curve-family sensitivity, InvSqrt, logarithmic, and Michaelis families passed all five Bingöl USL conditions, whereas the exponential family passed zero of five. This supports a bounded-family interpretation while warning against unqualified extrapolating models [12], [13].</w:t>
      </w:r>
    </w:p>
    <w:p>
      <w:pPr>
        <w:pStyle w:val="H1ListSpace"/>
      </w:pPr>
      <w:r>
        <w:rPr>
          <w:rFonts w:ascii="Times New Roman" w:hAnsi="Times New Roman"/>
        </w:rPr>
        <w:t>DISCUSSION</w:t>
      </w:r>
    </w:p>
    <w:p>
      <w:pPr>
        <w:spacing w:before="120" w:after="60"/>
      </w:pPr>
      <w:r>
        <w:rPr>
          <w:rFonts w:ascii="Times New Roman" w:hAnsi="Times New Roman"/>
        </w:rPr>
      </w:r>
      <w:r/>
      <w:r>
        <w:rPr>
          <w:b/>
        </w:rPr>
        <w:t>A. INTERPRETATION AS A BUDGET-AWARE DECISION FRAMEWORK</w:t>
      </w:r>
    </w:p>
    <w:p>
      <w:pPr>
        <w:pStyle w:val="PARA"/>
      </w:pPr>
      <w:r>
        <w:rPr>
          <w:rFonts w:ascii="Times New Roman" w:hAnsi="Times New Roman"/>
          <w:sz w:val="16"/>
        </w:rPr>
      </w:r>
      <w:r>
        <w:t>The strongest contribution is an engineering and statistical decision framework, not a budget-invariant scientific law. The framework is valuable because it reports when conclusions are stable and when budget definitions change the decision. This framing supports a reproducible decision-support interpretation rather than an overgeneralized universal-law interpretation.</w:t>
      </w:r>
    </w:p>
    <w:p>
      <w:pPr>
        <w:spacing w:before="120" w:after="60"/>
      </w:pPr>
      <w:r>
        <w:rPr>
          <w:rFonts w:ascii="Times New Roman" w:hAnsi="Times New Roman"/>
        </w:rPr>
      </w:r>
      <w:r>
        <w:rPr>
          <w:b/>
        </w:rPr>
        <w:t>B. WHAT THE RESULT SUPPORTS</w:t>
      </w:r>
    </w:p>
    <w:p>
      <w:pPr>
        <w:pStyle w:val="PARA"/>
      </w:pPr>
      <w:r>
        <w:rPr>
          <w:rFonts w:ascii="Times New Roman" w:hAnsi="Times New Roman"/>
          <w:sz w:val="16"/>
        </w:rPr>
      </w:r>
      <w:r>
        <w:t>The evidence supports a reproducible framework for identifying cost-aware operating regions in bounded collective systems. It also supports the distinction between N*/N_peak in retrograde systems and N*/N_95 in monotone-saturating systems. Bingöl/USL restores the original retrograde branch as analytical benchmark evidence. Separately, CIFAR-10H and ChaosNLI provide the raw-bootstrap primary closure for monotone-saturating judgment systems.</w:t>
      </w:r>
    </w:p>
    <w:p>
      <w:pPr>
        <w:spacing w:before="120" w:after="60"/>
      </w:pPr>
      <w:r>
        <w:rPr>
          <w:rFonts w:ascii="Times New Roman" w:hAnsi="Times New Roman"/>
        </w:rPr>
      </w:r>
      <w:r>
        <w:rPr>
          <w:b/>
        </w:rPr>
        <w:t>C. WHAT THE RESULT DOES NOT SUPPORT</w:t>
      </w:r>
    </w:p>
    <w:p>
      <w:pPr>
        <w:pStyle w:val="PARA"/>
      </w:pPr>
      <w:r>
        <w:rPr>
          <w:rFonts w:ascii="Times New Roman" w:hAnsi="Times New Roman"/>
          <w:sz w:val="16"/>
        </w:rPr>
        <w:t>The results do not support a universal stopping constant, a single N*/N_peak ratio across all domains, or a claim that more agents are always counterproductive. Snapshot should not be promoted above supporting evidence, Snow should not be treated as primary validation, and Nitti should not be converted from boundary evidence into a positive-validation dataset.</w:t>
      </w:r>
    </w:p>
    <w:p>
      <w:pPr>
        <w:spacing w:before="120" w:after="60"/>
      </w:pPr>
      <w:r>
        <w:rPr>
          <w:rFonts w:ascii="Times New Roman" w:hAnsi="Times New Roman"/>
        </w:rPr>
      </w:r>
      <w:r>
        <w:rPr>
          <w:b/>
        </w:rPr>
        <w:t>D. PRACTICAL IMPLICATIONS</w:t>
      </w:r>
    </w:p>
    <w:p>
      <w:pPr>
        <w:pStyle w:val="PARA"/>
      </w:pPr>
      <w:r>
        <w:rPr>
          <w:rFonts w:ascii="Times New Roman" w:hAnsi="Times New Roman"/>
          <w:sz w:val="16"/>
        </w:rPr>
      </w:r>
      <w:r>
        <w:t>The method can be used to estimate and audit operating regions for annotation pipelines, citizen-science workflows, swarm allocation benchmarks, and other bounded collective systems. A practitioner specifies a performance reference, a budget definition, and a performance-cost weight λ; the framework returns N*(λ), reference ratios, and sensitivity flags.</w:t>
      </w:r>
    </w:p>
    <w:p>
      <w:pPr/>
      <w:r>
        <w:rPr>
          <w:rFonts w:ascii="Times New Roman" w:hAnsi="Times New Roman"/>
          <w:b/>
          <w:sz w:val="16"/>
        </w:rPr>
        <w:t>E. RELATION TO CROWDSOURCING BUDGET AND LABEL-AGGREGATION LITERATURE</w:t>
      </w:r>
    </w:p>
    <w:p>
      <w:pPr/>
      <w:r>
        <w:rPr>
          <w:rFonts w:ascii="Times New Roman" w:hAnsi="Times New Roman"/>
          <w:sz w:val="16"/>
        </w:rPr>
        <w:t>The framework is complementary to repeated-label acquisition, label aggregation, and budget-optimal crowdsourcing. Prior work has shown that additional noisy labels can improve data quality under some cost regimes [17], that latent-truth and annotator-reliability models estimate error rates or labeler expertise when true labels are uncertain [18]-[21], and that task allocation can be optimized under target reliability budgets [22]. In contrast, the present framework starts from an observed or fitted collective performance curve and asks for the explicit cost-aware operating region N*(λ), with sensitivity to N_budget and N_ref.</w:t>
      </w:r>
    </w:p>
    <w:p>
      <w:pPr>
        <w:spacing w:before="120" w:after="60"/>
      </w:pPr>
      <w:r>
        <w:rPr>
          <w:rFonts w:ascii="Times New Roman" w:hAnsi="Times New Roman"/>
          <w:b/>
          <w:sz w:val="16"/>
        </w:rPr>
        <w:t>F. LIMITATIONS</w:t>
      </w:r>
    </w:p>
    <w:p>
      <w:pPr>
        <w:pStyle w:val="PARA"/>
      </w:pPr>
      <w:r>
        <w:rPr>
          <w:rFonts w:ascii="Times New Roman" w:hAnsi="Times New Roman"/>
          <w:sz w:val="16"/>
        </w:rPr>
      </w:r>
      <w:r>
        <w:t>The first limitation is that the primary raw-bootstrap closure is strongest for monotone-saturating judgment systems. The second limitation is budget sensitivity at high λ. The third limitation is that N_99 is usually extrapolated and should remain sensitivity-only. The fourth limitation is that the analytical and boundary components are not equal in evidence tier to the final raw-bootstrap primary datasets.</w:t>
      </w:r>
    </w:p>
    <w:p>
      <w:pPr>
        <w:pStyle w:val="H1ListSpace"/>
      </w:pPr>
      <w:r>
        <w:rPr>
          <w:rFonts w:ascii="Times New Roman" w:hAnsi="Times New Roman"/>
        </w:rPr>
        <w:t>CONCLUSION</w:t>
      </w:r>
    </w:p>
    <w:p>
      <w:pPr>
        <w:pStyle w:val="PARA"/>
      </w:pPr>
      <w:r>
        <w:rPr>
          <w:rFonts w:ascii="Times New Roman" w:hAnsi="Times New Roman"/>
          <w:sz w:val="16"/>
        </w:rPr>
      </w:r>
      <w:r>
        <w:t>This article presents a reproducible utility framework for agent-count stopping in bounded collective systems. The framework estimates N* from normalized performance-cost utility, separates retrograde N_peak references from monotone-saturating N_95 references, and reports budget sensitivity explicitly. CIFAR-10H and ChaosNLI provide the primary raw-bootstrap closure, Snapshot Serengeti provides supporting citizen-science evidence, Bingöl/USL restores the analytical retrograde benchmark, Snow links marginal-gain stopping to utility stopping, and Nitti stress-tests boundary and admissibility conditions. The correct interpretation is deliberately conservative: the framework identifies budget-aware operating regions, not a universal stopping constant.</w:t>
      </w:r>
    </w:p>
    <w:p>
      <w:pPr>
        <w:pStyle w:val="H1ListSpace"/>
      </w:pPr>
      <w:r>
        <w:rPr>
          <w:rFonts w:ascii="Times New Roman" w:hAnsi="Times New Roman"/>
        </w:rPr>
        <w:t>DATA AND CODE AVAILABILITY</w:t>
      </w:r>
    </w:p>
    <w:p>
      <w:pPr>
        <w:pStyle w:val="PARA"/>
      </w:pPr>
      <w:r>
        <w:t>All data analyzed in this article are secondary public datasets, published or digitized benchmark curves, or derived processed files. The reproducibility package accompanying this submission contains the processed item-level inputs for the two primary raw-bootstrap domains, curve-bootstrap files, final saturation summaries, utility summaries, model-comparison tables, budget-sensitivity tables, legacy benchmark inputs, analysis scripts, and the reproducibility report. The original public sources are cited in the reference list, and no new restricted human-subject, animal, or biological data were generated for this study.</w:t>
      </w:r>
    </w:p>
    <w:p>
      <w:pPr>
        <w:pStyle w:val="H1ListSpace"/>
      </w:pPr>
      <w:r>
        <w:rPr>
          <w:rFonts w:ascii="Times New Roman" w:hAnsi="Times New Roman"/>
        </w:rPr>
        <w:t>ETHICS STATEMENT</w:t>
      </w:r>
    </w:p>
    <w:p>
      <w:pPr>
        <w:pStyle w:val="PARA"/>
      </w:pPr>
      <w:r>
        <w:rPr>
          <w:rFonts w:ascii="Times New Roman" w:hAnsi="Times New Roman"/>
          <w:sz w:val="16"/>
        </w:rPr>
        <w:t>No new human-subject, animal, or biological experiment was conducted. Publicly available datasets and published benchmark summaries were analyzed. Dataset-specific ethical and consent conditions remain those of the original sources.</w:t>
      </w:r>
    </w:p>
    <w:p>
      <w:pPr>
        <w:pStyle w:val="H1ListSpace"/>
      </w:pPr>
      <w:r>
        <w:rPr>
          <w:rFonts w:ascii="Times New Roman" w:hAnsi="Times New Roman"/>
        </w:rPr>
        <w:t>CONFLICTS OF INTEREST</w:t>
      </w:r>
    </w:p>
    <w:p>
      <w:pPr>
        <w:pStyle w:val="PARA"/>
      </w:pPr>
      <w:r>
        <w:rPr>
          <w:rFonts w:ascii="Times New Roman" w:hAnsi="Times New Roman"/>
          <w:sz w:val="16"/>
        </w:rPr>
        <w:t>The author declares no competing interests.</w:t>
      </w:r>
    </w:p>
    <w:p>
      <w:pPr>
        <w:pStyle w:val="H1ListSpace"/>
      </w:pPr>
      <w:r>
        <w:rPr>
          <w:rFonts w:ascii="Times New Roman" w:hAnsi="Times New Roman"/>
        </w:rPr>
        <w:t>AUTHOR CONTRIBUTIONS</w:t>
      </w:r>
    </w:p>
    <w:p>
      <w:pPr>
        <w:pStyle w:val="PARA"/>
      </w:pPr>
      <w:r>
        <w:rPr>
          <w:rFonts w:ascii="Times New Roman" w:hAnsi="Times New Roman"/>
          <w:sz w:val="16"/>
        </w:rPr>
        <w:t>BongKeun Song conceived the study, designed the utility framework, performed the analyses, and wrote the manuscript.</w:t>
      </w:r>
    </w:p>
    <w:p>
      <w:pPr>
        <w:pStyle w:val="H1ListSpace"/>
      </w:pPr>
      <w:r>
        <w:rPr>
          <w:rFonts w:ascii="Times New Roman" w:hAnsi="Times New Roman"/>
        </w:rPr>
        <w:t>ACKNOWLEDGMENT</w:t>
      </w:r>
    </w:p>
    <w:p>
      <w:pPr>
        <w:pStyle w:val="PARA"/>
      </w:pPr>
      <w:r>
        <w:rPr>
          <w:rFonts w:ascii="Times New Roman" w:hAnsi="Times New Roman"/>
          <w:sz w:val="16"/>
        </w:rPr>
        <w:t>The author thanks Friedrich-Alexander-Universität Erlangen-Nürnberg for institutional support. OpenAI Codex was used for editorial and reproducibility-audit assistance in revising manuscript text, checking references, and organizing release materials; the author reviewed and approved all manuscript content, analyses, and claims [23].</w:t>
      </w:r>
    </w:p>
    <w:p>
      <w:pPr>
        <w:sectPr>
          <w:type w:val="continuous"/>
          <w:pgSz w:w="11520" w:h="15660" w:code="1"/>
          <w:pgMar w:top="936" w:right="533" w:bottom="749" w:left="533" w:header="360" w:footer="640" w:gutter="0"/>
          <w:cols w:num="2" w:space="400"/>
          <w:docGrid w:linePitch="360"/>
        </w:sectPr>
      </w:pPr>
    </w:p>
    <w:p>
      <w:pPr>
        <w:pStyle w:val="H1ListSpace"/>
      </w:pPr>
      <w:r>
        <w:rPr>
          <w:rFonts w:ascii="Times New Roman" w:hAnsi="Times New Roman"/>
        </w:rPr>
        <w:t>TABLES AND FIGURES</w:t>
      </w:r>
    </w:p>
    <w:p>
      <w:pPr>
        <w:pStyle w:val="TableCaption"/>
      </w:pPr>
      <w:r>
        <w:rPr>
          <w:rFonts w:ascii="Times New Roman" w:hAnsi="Times New Roman"/>
        </w:rPr>
      </w:r>
      <w:r>
        <w:rPr>
          <w:b/>
        </w:rPr>
        <w:t>TABLE I. Evidence-tier hierarchy used for the submission framing.</w:t>
      </w:r>
    </w:p>
    <w:tbl>
      <w:tblPr>
        <w:tblW w:type="auto" w:w="0"/>
        <w:jc w:val="center"/>
        <w:tblLayout w:type="autofit"/>
        <w:tblLook w:firstColumn="1" w:firstRow="1" w:lastColumn="0" w:lastRow="0" w:noHBand="0" w:noVBand="1" w:val="04A0"/>
      </w:tblPr>
      <w:tblGrid>
        <w:gridCol w:w="3312"/>
        <w:gridCol w:w="3312"/>
        <w:gridCol w:w="3312"/>
      </w:tblGrid>
      <w:tr>
        <w:tc>
          <w:tcPr>
            <w:tcW w:type="dxa" w:w="3312"/>
            <w:vAlign w:val="top"/>
            <w:tcMar>
              <w:top w:w="35" w:type="dxa"/>
              <w:left w:w="35" w:type="dxa"/>
              <w:bottom w:w="35" w:type="dxa"/>
              <w:right w:w="35" w:type="dxa"/>
            </w:tcMar>
          </w:tcPr>
          <w:p>
            <w:pPr>
              <w:spacing w:before="0" w:after="0"/>
            </w:pPr>
            <w:r>
              <w:rPr>
                <w:b/>
                <w:sz w:val="14"/>
              </w:rPr>
              <w:t>Tier</w:t>
            </w:r>
          </w:p>
        </w:tc>
        <w:tc>
          <w:tcPr>
            <w:tcW w:type="dxa" w:w="3312"/>
            <w:vAlign w:val="top"/>
            <w:tcMar>
              <w:top w:w="35" w:type="dxa"/>
              <w:left w:w="35" w:type="dxa"/>
              <w:bottom w:w="35" w:type="dxa"/>
              <w:right w:w="35" w:type="dxa"/>
            </w:tcMar>
          </w:tcPr>
          <w:p>
            <w:pPr>
              <w:spacing w:before="0" w:after="0"/>
            </w:pPr>
            <w:r>
              <w:rPr>
                <w:b/>
                <w:sz w:val="14"/>
              </w:rPr>
              <w:t>Component</w:t>
            </w:r>
          </w:p>
        </w:tc>
        <w:tc>
          <w:tcPr>
            <w:tcW w:type="dxa" w:w="3312"/>
            <w:vAlign w:val="top"/>
            <w:tcMar>
              <w:top w:w="35" w:type="dxa"/>
              <w:left w:w="35" w:type="dxa"/>
              <w:bottom w:w="35" w:type="dxa"/>
              <w:right w:w="35" w:type="dxa"/>
            </w:tcMar>
          </w:tcPr>
          <w:p>
            <w:pPr>
              <w:spacing w:before="0" w:after="0"/>
            </w:pPr>
            <w:r>
              <w:rPr>
                <w:b/>
                <w:sz w:val="14"/>
              </w:rPr>
              <w:t>Manuscript role</w:t>
            </w:r>
          </w:p>
        </w:tc>
      </w:tr>
      <w:tr>
        <w:tc>
          <w:tcPr>
            <w:tcW w:type="dxa" w:w="3312"/>
            <w:vAlign w:val="top"/>
            <w:tcMar>
              <w:top w:w="35" w:type="dxa"/>
              <w:left w:w="35" w:type="dxa"/>
              <w:bottom w:w="35" w:type="dxa"/>
              <w:right w:w="35" w:type="dxa"/>
            </w:tcMar>
          </w:tcPr>
          <w:p>
            <w:pPr>
              <w:spacing w:before="0" w:after="0"/>
            </w:pPr>
            <w:r>
              <w:rPr>
                <w:b w:val="0"/>
                <w:sz w:val="14"/>
              </w:rPr>
              <w:t>Primary closure</w:t>
            </w:r>
          </w:p>
        </w:tc>
        <w:tc>
          <w:tcPr>
            <w:tcW w:type="dxa" w:w="3312"/>
            <w:vAlign w:val="top"/>
            <w:tcMar>
              <w:top w:w="35" w:type="dxa"/>
              <w:left w:w="35" w:type="dxa"/>
              <w:bottom w:w="35" w:type="dxa"/>
              <w:right w:w="35" w:type="dxa"/>
            </w:tcMar>
          </w:tcPr>
          <w:p>
            <w:pPr>
              <w:spacing w:before="0" w:after="0"/>
            </w:pPr>
            <w:r>
              <w:rPr>
                <w:b w:val="0"/>
                <w:sz w:val="14"/>
              </w:rPr>
              <w:t>CIFAR-10H; ChaosNLI</w:t>
            </w:r>
          </w:p>
        </w:tc>
        <w:tc>
          <w:tcPr>
            <w:tcW w:type="dxa" w:w="3312"/>
            <w:vAlign w:val="top"/>
            <w:tcMar>
              <w:top w:w="35" w:type="dxa"/>
              <w:left w:w="35" w:type="dxa"/>
              <w:bottom w:w="35" w:type="dxa"/>
              <w:right w:w="35" w:type="dxa"/>
            </w:tcMar>
          </w:tcPr>
          <w:p>
            <w:pPr>
              <w:spacing w:before="0" w:after="0"/>
            </w:pPr>
            <w:r>
              <w:rPr>
                <w:sz w:val="14"/>
              </w:rPr>
              <w:t>Primary final raw-bootstrap validation only</w:t>
            </w:r>
          </w:p>
        </w:tc>
      </w:tr>
      <w:tr>
        <w:tc>
          <w:tcPr>
            <w:tcW w:type="dxa" w:w="3312"/>
            <w:vAlign w:val="top"/>
            <w:tcMar>
              <w:top w:w="35" w:type="dxa"/>
              <w:left w:w="35" w:type="dxa"/>
              <w:bottom w:w="35" w:type="dxa"/>
              <w:right w:w="35" w:type="dxa"/>
            </w:tcMar>
          </w:tcPr>
          <w:p>
            <w:pPr>
              <w:spacing w:before="0" w:after="0"/>
            </w:pPr>
            <w:r>
              <w:rPr>
                <w:b w:val="0"/>
                <w:sz w:val="14"/>
              </w:rPr>
              <w:t>Supporting</w:t>
            </w:r>
          </w:p>
        </w:tc>
        <w:tc>
          <w:tcPr>
            <w:tcW w:type="dxa" w:w="3312"/>
            <w:vAlign w:val="top"/>
            <w:tcMar>
              <w:top w:w="35" w:type="dxa"/>
              <w:left w:w="35" w:type="dxa"/>
              <w:bottom w:w="35" w:type="dxa"/>
              <w:right w:w="35" w:type="dxa"/>
            </w:tcMar>
          </w:tcPr>
          <w:p>
            <w:pPr>
              <w:spacing w:before="0" w:after="0"/>
            </w:pPr>
            <w:r>
              <w:rPr>
                <w:b w:val="0"/>
                <w:sz w:val="14"/>
              </w:rPr>
              <w:t>Snapshot Serengeti</w:t>
            </w:r>
          </w:p>
        </w:tc>
        <w:tc>
          <w:tcPr>
            <w:tcW w:type="dxa" w:w="3312"/>
            <w:vAlign w:val="top"/>
            <w:tcMar>
              <w:top w:w="35" w:type="dxa"/>
              <w:left w:w="35" w:type="dxa"/>
              <w:bottom w:w="35" w:type="dxa"/>
              <w:right w:w="35" w:type="dxa"/>
            </w:tcMar>
          </w:tcPr>
          <w:p>
            <w:pPr>
              <w:spacing w:before="0" w:after="0"/>
            </w:pPr>
            <w:r>
              <w:rPr>
                <w:sz w:val="14"/>
              </w:rPr>
              <w:t>Supporting field evidence only; not co-primary</w:t>
            </w:r>
          </w:p>
        </w:tc>
      </w:tr>
      <w:tr>
        <w:tc>
          <w:tcPr>
            <w:tcW w:type="dxa" w:w="3312"/>
            <w:vAlign w:val="top"/>
            <w:tcMar>
              <w:top w:w="35" w:type="dxa"/>
              <w:left w:w="35" w:type="dxa"/>
              <w:bottom w:w="35" w:type="dxa"/>
              <w:right w:w="35" w:type="dxa"/>
            </w:tcMar>
          </w:tcPr>
          <w:p>
            <w:pPr>
              <w:spacing w:before="0" w:after="0"/>
            </w:pPr>
            <w:r>
              <w:rPr>
                <w:b w:val="0"/>
                <w:sz w:val="14"/>
              </w:rPr>
              <w:t>Analytical benchmark</w:t>
            </w:r>
          </w:p>
        </w:tc>
        <w:tc>
          <w:tcPr>
            <w:tcW w:type="dxa" w:w="3312"/>
            <w:vAlign w:val="top"/>
            <w:tcMar>
              <w:top w:w="35" w:type="dxa"/>
              <w:left w:w="35" w:type="dxa"/>
              <w:bottom w:w="35" w:type="dxa"/>
              <w:right w:w="35" w:type="dxa"/>
            </w:tcMar>
          </w:tcPr>
          <w:p>
            <w:pPr>
              <w:spacing w:before="0" w:after="0"/>
            </w:pPr>
            <w:r>
              <w:rPr>
                <w:b w:val="0"/>
                <w:sz w:val="14"/>
              </w:rPr>
              <w:t>Bingöl/USL</w:t>
            </w:r>
          </w:p>
        </w:tc>
        <w:tc>
          <w:tcPr>
            <w:tcW w:type="dxa" w:w="3312"/>
            <w:vAlign w:val="top"/>
            <w:tcMar>
              <w:top w:w="35" w:type="dxa"/>
              <w:left w:w="35" w:type="dxa"/>
              <w:bottom w:w="35" w:type="dxa"/>
              <w:right w:w="35" w:type="dxa"/>
            </w:tcMar>
          </w:tcPr>
          <w:p>
            <w:pPr>
              <w:spacing w:before="0" w:after="0"/>
            </w:pPr>
            <w:r>
              <w:rPr>
                <w:sz w:val="14"/>
              </w:rPr>
              <w:t>Analytical retrograde N*/N_peak benchmark only</w:t>
            </w:r>
          </w:p>
        </w:tc>
      </w:tr>
      <w:tr>
        <w:tc>
          <w:tcPr>
            <w:tcW w:type="dxa" w:w="3312"/>
            <w:vAlign w:val="top"/>
            <w:tcMar>
              <w:top w:w="35" w:type="dxa"/>
              <w:left w:w="35" w:type="dxa"/>
              <w:bottom w:w="35" w:type="dxa"/>
              <w:right w:w="35" w:type="dxa"/>
            </w:tcMar>
          </w:tcPr>
          <w:p>
            <w:pPr>
              <w:spacing w:before="0" w:after="0"/>
            </w:pPr>
            <w:r>
              <w:rPr>
                <w:b w:val="0"/>
                <w:sz w:val="14"/>
              </w:rPr>
              <w:t>Bridge</w:t>
            </w:r>
          </w:p>
        </w:tc>
        <w:tc>
          <w:tcPr>
            <w:tcW w:type="dxa" w:w="3312"/>
            <w:vAlign w:val="top"/>
            <w:tcMar>
              <w:top w:w="35" w:type="dxa"/>
              <w:left w:w="35" w:type="dxa"/>
              <w:bottom w:w="35" w:type="dxa"/>
              <w:right w:w="35" w:type="dxa"/>
            </w:tcMar>
          </w:tcPr>
          <w:p>
            <w:pPr>
              <w:spacing w:before="0" w:after="0"/>
            </w:pPr>
            <w:r>
              <w:rPr>
                <w:b w:val="0"/>
                <w:sz w:val="14"/>
              </w:rPr>
              <w:t>Snow et al.</w:t>
            </w:r>
          </w:p>
        </w:tc>
        <w:tc>
          <w:tcPr>
            <w:tcW w:type="dxa" w:w="3312"/>
            <w:vAlign w:val="top"/>
            <w:tcMar>
              <w:top w:w="35" w:type="dxa"/>
              <w:left w:w="35" w:type="dxa"/>
              <w:bottom w:w="35" w:type="dxa"/>
              <w:right w:w="35" w:type="dxa"/>
            </w:tcMar>
          </w:tcPr>
          <w:p>
            <w:pPr>
              <w:spacing w:before="0" w:after="0"/>
            </w:pPr>
            <w:r>
              <w:rPr>
                <w:sz w:val="14"/>
              </w:rPr>
              <w:t>Bridge from epsilon-stopping to utility-stopping only</w:t>
            </w:r>
          </w:p>
        </w:tc>
      </w:tr>
      <w:tr>
        <w:tc>
          <w:tcPr>
            <w:tcW w:type="dxa" w:w="3312"/>
            <w:vAlign w:val="top"/>
            <w:tcMar>
              <w:top w:w="35" w:type="dxa"/>
              <w:left w:w="35" w:type="dxa"/>
              <w:bottom w:w="35" w:type="dxa"/>
              <w:right w:w="35" w:type="dxa"/>
            </w:tcMar>
          </w:tcPr>
          <w:p>
            <w:pPr>
              <w:spacing w:before="0" w:after="0"/>
            </w:pPr>
            <w:r>
              <w:rPr>
                <w:b w:val="0"/>
                <w:sz w:val="14"/>
              </w:rPr>
              <w:t>Boundary</w:t>
            </w:r>
          </w:p>
        </w:tc>
        <w:tc>
          <w:tcPr>
            <w:tcW w:type="dxa" w:w="3312"/>
            <w:vAlign w:val="top"/>
            <w:tcMar>
              <w:top w:w="35" w:type="dxa"/>
              <w:left w:w="35" w:type="dxa"/>
              <w:bottom w:w="35" w:type="dxa"/>
              <w:right w:w="35" w:type="dxa"/>
            </w:tcMar>
          </w:tcPr>
          <w:p>
            <w:pPr>
              <w:spacing w:before="0" w:after="0"/>
            </w:pPr>
            <w:r>
              <w:rPr>
                <w:b w:val="0"/>
                <w:sz w:val="14"/>
              </w:rPr>
              <w:t>Nitti et al.</w:t>
            </w:r>
          </w:p>
        </w:tc>
        <w:tc>
          <w:tcPr>
            <w:tcW w:type="dxa" w:w="3312"/>
            <w:vAlign w:val="top"/>
            <w:tcMar>
              <w:top w:w="35" w:type="dxa"/>
              <w:left w:w="35" w:type="dxa"/>
              <w:bottom w:w="35" w:type="dxa"/>
              <w:right w:w="35" w:type="dxa"/>
            </w:tcMar>
          </w:tcPr>
          <w:p>
            <w:pPr>
              <w:spacing w:before="0" w:after="0"/>
            </w:pPr>
            <w:r>
              <w:rPr>
                <w:sz w:val="14"/>
              </w:rPr>
              <w:t>Boundary/admissibility stress test only</w:t>
            </w:r>
          </w:p>
        </w:tc>
      </w:tr>
    </w:tbl>
    <w:p>
      <w:pPr>
        <w:pStyle w:val="TableCaption"/>
      </w:pPr>
      <w:r>
        <w:rPr>
          <w:rFonts w:ascii="Times New Roman" w:hAnsi="Times New Roman"/>
        </w:rPr>
      </w:r>
      <w:r>
        <w:rPr>
          <w:b/>
        </w:rPr>
        <w:t>TABLE II. Final fitted saturation references for the two primary domains and the supporting Snapshot field-evidence curve.</w:t>
      </w:r>
    </w:p>
    <w:tbl>
      <w:tblPr>
        <w:tblW w:type="auto" w:w="0"/>
        <w:jc w:val="center"/>
        <w:tblLayout w:type="autofit"/>
        <w:tblLook w:firstColumn="1" w:firstRow="1" w:lastColumn="0" w:lastRow="0" w:noHBand="0" w:noVBand="1" w:val="04A0"/>
      </w:tblPr>
      <w:tblGrid>
        <w:gridCol w:w="1419"/>
        <w:gridCol w:w="1419"/>
        <w:gridCol w:w="1419"/>
        <w:gridCol w:w="1419"/>
        <w:gridCol w:w="1419"/>
        <w:gridCol w:w="1419"/>
        <w:gridCol w:w="1419"/>
      </w:tblGrid>
      <w:tr>
        <w:tc>
          <w:tcPr>
            <w:tcW w:type="dxa" w:w="1419"/>
            <w:vAlign w:val="top"/>
            <w:tcMar>
              <w:top w:w="35" w:type="dxa"/>
              <w:left w:w="35" w:type="dxa"/>
              <w:bottom w:w="35" w:type="dxa"/>
              <w:right w:w="35" w:type="dxa"/>
            </w:tcMar>
          </w:tcPr>
          <w:p>
            <w:pPr>
              <w:spacing w:before="0" w:after="0"/>
            </w:pPr>
            <w:r>
              <w:rPr>
                <w:b/>
                <w:sz w:val="14"/>
              </w:rPr>
              <w:t>Dataset</w:t>
            </w:r>
          </w:p>
        </w:tc>
        <w:tc>
          <w:tcPr>
            <w:tcW w:type="dxa" w:w="1419"/>
            <w:vAlign w:val="top"/>
            <w:tcMar>
              <w:top w:w="35" w:type="dxa"/>
              <w:left w:w="35" w:type="dxa"/>
              <w:bottom w:w="35" w:type="dxa"/>
              <w:right w:w="35" w:type="dxa"/>
            </w:tcMar>
          </w:tcPr>
          <w:p>
            <w:pPr>
              <w:spacing w:before="0" w:after="0"/>
            </w:pPr>
            <w:r>
              <w:rPr>
                <w:b/>
                <w:sz w:val="14"/>
              </w:rPr>
              <w:t>Mode</w:t>
            </w:r>
          </w:p>
        </w:tc>
        <w:tc>
          <w:tcPr>
            <w:tcW w:type="dxa" w:w="1419"/>
            <w:vAlign w:val="top"/>
            <w:tcMar>
              <w:top w:w="35" w:type="dxa"/>
              <w:left w:w="35" w:type="dxa"/>
              <w:bottom w:w="35" w:type="dxa"/>
              <w:right w:w="35" w:type="dxa"/>
            </w:tcMar>
          </w:tcPr>
          <w:p>
            <w:pPr>
              <w:spacing w:before="0" w:after="0"/>
            </w:pPr>
            <w:r>
              <w:rPr>
                <w:b/>
                <w:sz w:val="14"/>
              </w:rPr>
              <w:t>Role</w:t>
            </w:r>
          </w:p>
        </w:tc>
        <w:tc>
          <w:tcPr>
            <w:tcW w:type="dxa" w:w="1419"/>
            <w:vAlign w:val="top"/>
            <w:tcMar>
              <w:top w:w="35" w:type="dxa"/>
              <w:left w:w="35" w:type="dxa"/>
              <w:bottom w:w="35" w:type="dxa"/>
              <w:right w:w="35" w:type="dxa"/>
            </w:tcMar>
          </w:tcPr>
          <w:p>
            <w:pPr>
              <w:spacing w:before="0" w:after="0"/>
            </w:pPr>
            <w:r>
              <w:rPr>
                <w:b/>
                <w:sz w:val="14"/>
              </w:rPr>
              <w:t>Fit</w:t>
            </w:r>
          </w:p>
        </w:tc>
        <w:tc>
          <w:tcPr>
            <w:tcW w:type="dxa" w:w="1419"/>
            <w:vAlign w:val="top"/>
            <w:tcMar>
              <w:top w:w="35" w:type="dxa"/>
              <w:left w:w="35" w:type="dxa"/>
              <w:bottom w:w="35" w:type="dxa"/>
              <w:right w:w="35" w:type="dxa"/>
            </w:tcMar>
          </w:tcPr>
          <w:p>
            <w:pPr>
              <w:spacing w:before="0" w:after="0"/>
            </w:pPr>
            <w:r>
              <w:rPr>
                <w:b/>
                <w:sz w:val="14"/>
              </w:rPr>
            </w:r>
            <w:r>
              <w:rPr>
                <w:sz w:val="14"/>
              </w:rPr>
              <w:t>N_90</w:t>
            </w:r>
          </w:p>
        </w:tc>
        <w:tc>
          <w:tcPr>
            <w:tcW w:type="dxa" w:w="1419"/>
            <w:vAlign w:val="top"/>
            <w:tcMar>
              <w:top w:w="35" w:type="dxa"/>
              <w:left w:w="35" w:type="dxa"/>
              <w:bottom w:w="35" w:type="dxa"/>
              <w:right w:w="35" w:type="dxa"/>
            </w:tcMar>
          </w:tcPr>
          <w:p>
            <w:pPr>
              <w:spacing w:before="0" w:after="0"/>
            </w:pPr>
            <w:r>
              <w:rPr>
                <w:b/>
                <w:sz w:val="14"/>
              </w:rPr>
            </w:r>
            <w:r>
              <w:rPr>
                <w:sz w:val="14"/>
              </w:rPr>
              <w:t>N_95 [CI]</w:t>
            </w:r>
          </w:p>
        </w:tc>
        <w:tc>
          <w:tcPr>
            <w:tcW w:type="dxa" w:w="1419"/>
            <w:vAlign w:val="top"/>
            <w:tcMar>
              <w:top w:w="35" w:type="dxa"/>
              <w:left w:w="35" w:type="dxa"/>
              <w:bottom w:w="35" w:type="dxa"/>
              <w:right w:w="35" w:type="dxa"/>
            </w:tcMar>
          </w:tcPr>
          <w:p>
            <w:pPr>
              <w:spacing w:before="0" w:after="0"/>
            </w:pPr>
            <w:r>
              <w:rPr>
                <w:b/>
                <w:sz w:val="14"/>
              </w:rPr>
            </w:r>
            <w:r>
              <w:rPr>
                <w:sz w:val="14"/>
              </w:rPr>
              <w:t>N_99</w:t>
            </w:r>
          </w:p>
        </w:tc>
      </w:tr>
      <w:tr>
        <w:tc>
          <w:tcPr>
            <w:tcW w:type="dxa" w:w="1419"/>
            <w:vAlign w:val="top"/>
            <w:tcMar>
              <w:top w:w="35" w:type="dxa"/>
              <w:left w:w="35" w:type="dxa"/>
              <w:bottom w:w="35" w:type="dxa"/>
              <w:right w:w="35" w:type="dxa"/>
            </w:tcMar>
          </w:tcPr>
          <w:p>
            <w:pPr>
              <w:spacing w:before="0" w:after="0"/>
            </w:pPr>
            <w:r>
              <w:rPr>
                <w:b w:val="0"/>
                <w:sz w:val="14"/>
              </w:rPr>
              <w:t>CIFAR-10H</w:t>
            </w:r>
          </w:p>
        </w:tc>
        <w:tc>
          <w:tcPr>
            <w:tcW w:type="dxa" w:w="1419"/>
            <w:vAlign w:val="top"/>
            <w:tcMar>
              <w:top w:w="35" w:type="dxa"/>
              <w:left w:w="35" w:type="dxa"/>
              <w:bottom w:w="35" w:type="dxa"/>
              <w:right w:w="35" w:type="dxa"/>
            </w:tcMar>
          </w:tcPr>
          <w:p>
            <w:pPr>
              <w:spacing w:before="0" w:after="0"/>
            </w:pPr>
            <w:r>
              <w:rPr>
                <w:b w:val="0"/>
                <w:sz w:val="14"/>
              </w:rPr>
              <w:t>gold accuracy</w:t>
            </w:r>
          </w:p>
        </w:tc>
        <w:tc>
          <w:tcPr>
            <w:tcW w:type="dxa" w:w="1419"/>
            <w:vAlign w:val="top"/>
            <w:tcMar>
              <w:top w:w="35" w:type="dxa"/>
              <w:left w:w="35" w:type="dxa"/>
              <w:bottom w:w="35" w:type="dxa"/>
              <w:right w:w="35" w:type="dxa"/>
            </w:tcMar>
          </w:tcPr>
          <w:p>
            <w:pPr>
              <w:spacing w:before="0" w:after="0"/>
            </w:pPr>
            <w:r>
              <w:rPr>
                <w:sz w:val="14"/>
              </w:rPr>
              <w:t>primary final raw-bootstrap validation</w:t>
            </w:r>
          </w:p>
        </w:tc>
        <w:tc>
          <w:tcPr>
            <w:tcW w:type="dxa" w:w="1419"/>
            <w:vAlign w:val="top"/>
            <w:tcMar>
              <w:top w:w="35" w:type="dxa"/>
              <w:left w:w="35" w:type="dxa"/>
              <w:bottom w:w="35" w:type="dxa"/>
              <w:right w:w="35" w:type="dxa"/>
            </w:tcMar>
          </w:tcPr>
          <w:p>
            <w:pPr>
              <w:spacing w:before="0" w:after="0"/>
            </w:pPr>
            <w:r>
              <w:rPr>
                <w:b w:val="0"/>
                <w:sz w:val="14"/>
              </w:rPr>
              <w:t>michaelis</w:t>
            </w:r>
          </w:p>
        </w:tc>
        <w:tc>
          <w:tcPr>
            <w:tcW w:type="dxa" w:w="1419"/>
            <w:vAlign w:val="top"/>
            <w:tcMar>
              <w:top w:w="35" w:type="dxa"/>
              <w:left w:w="35" w:type="dxa"/>
              <w:bottom w:w="35" w:type="dxa"/>
              <w:right w:w="35" w:type="dxa"/>
            </w:tcMar>
          </w:tcPr>
          <w:p>
            <w:pPr>
              <w:spacing w:before="0" w:after="0"/>
            </w:pPr>
            <w:r>
              <w:rPr>
                <w:b w:val="0"/>
                <w:sz w:val="14"/>
              </w:rPr>
              <w:t>11</w:t>
            </w:r>
          </w:p>
        </w:tc>
        <w:tc>
          <w:tcPr>
            <w:tcW w:type="dxa" w:w="1419"/>
            <w:vAlign w:val="top"/>
            <w:tcMar>
              <w:top w:w="35" w:type="dxa"/>
              <w:left w:w="35" w:type="dxa"/>
              <w:bottom w:w="35" w:type="dxa"/>
              <w:right w:w="35" w:type="dxa"/>
            </w:tcMar>
          </w:tcPr>
          <w:p>
            <w:pPr>
              <w:spacing w:before="0" w:after="0"/>
            </w:pPr>
            <w:r>
              <w:rPr>
                <w:b w:val="0"/>
                <w:sz w:val="14"/>
              </w:rPr>
            </w:r>
            <w:r>
              <w:rPr>
                <w:rFonts w:ascii="Times New Roman" w:hAnsi="Times New Roman"/>
                <w:sz w:val="14"/>
              </w:rPr>
              <w:t>22 [22, 22]</w:t>
            </w:r>
          </w:p>
        </w:tc>
        <w:tc>
          <w:tcPr>
            <w:tcW w:type="dxa" w:w="1419"/>
            <w:vAlign w:val="top"/>
            <w:tcMar>
              <w:top w:w="35" w:type="dxa"/>
              <w:left w:w="35" w:type="dxa"/>
              <w:bottom w:w="35" w:type="dxa"/>
              <w:right w:w="35" w:type="dxa"/>
            </w:tcMar>
          </w:tcPr>
          <w:p>
            <w:pPr>
              <w:spacing w:before="0" w:after="0"/>
            </w:pPr>
            <w:r>
              <w:rPr>
                <w:b w:val="0"/>
                <w:sz w:val="14"/>
              </w:rPr>
              <w:t>extrapolated</w:t>
            </w:r>
          </w:p>
        </w:tc>
      </w:tr>
      <w:tr>
        <w:tc>
          <w:tcPr>
            <w:tcW w:type="dxa" w:w="1419"/>
            <w:vAlign w:val="top"/>
            <w:tcMar>
              <w:top w:w="35" w:type="dxa"/>
              <w:left w:w="35" w:type="dxa"/>
              <w:bottom w:w="35" w:type="dxa"/>
              <w:right w:w="35" w:type="dxa"/>
            </w:tcMar>
          </w:tcPr>
          <w:p>
            <w:pPr>
              <w:spacing w:before="0" w:after="0"/>
            </w:pPr>
            <w:r>
              <w:rPr>
                <w:b w:val="0"/>
                <w:sz w:val="14"/>
              </w:rPr>
              <w:t>ChaosNLI</w:t>
            </w:r>
          </w:p>
        </w:tc>
        <w:tc>
          <w:tcPr>
            <w:tcW w:type="dxa" w:w="1419"/>
            <w:vAlign w:val="top"/>
            <w:tcMar>
              <w:top w:w="35" w:type="dxa"/>
              <w:left w:w="35" w:type="dxa"/>
              <w:bottom w:w="35" w:type="dxa"/>
              <w:right w:w="35" w:type="dxa"/>
            </w:tcMar>
          </w:tcPr>
          <w:p>
            <w:pPr>
              <w:spacing w:before="0" w:after="0"/>
            </w:pPr>
            <w:r>
              <w:rPr>
                <w:b w:val="0"/>
                <w:sz w:val="14"/>
              </w:rPr>
              <w:t>reference distribution</w:t>
            </w:r>
          </w:p>
        </w:tc>
        <w:tc>
          <w:tcPr>
            <w:tcW w:type="dxa" w:w="1419"/>
            <w:vAlign w:val="top"/>
            <w:tcMar>
              <w:top w:w="35" w:type="dxa"/>
              <w:left w:w="35" w:type="dxa"/>
              <w:bottom w:w="35" w:type="dxa"/>
              <w:right w:w="35" w:type="dxa"/>
            </w:tcMar>
          </w:tcPr>
          <w:p>
            <w:pPr>
              <w:spacing w:before="0" w:after="0"/>
            </w:pPr>
            <w:r>
              <w:rPr>
                <w:b w:val="0"/>
                <w:sz w:val="14"/>
              </w:rPr>
              <w:t>primary saturating validation</w:t>
            </w:r>
          </w:p>
        </w:tc>
        <w:tc>
          <w:tcPr>
            <w:tcW w:type="dxa" w:w="1419"/>
            <w:vAlign w:val="top"/>
            <w:tcMar>
              <w:top w:w="35" w:type="dxa"/>
              <w:left w:w="35" w:type="dxa"/>
              <w:bottom w:w="35" w:type="dxa"/>
              <w:right w:w="35" w:type="dxa"/>
            </w:tcMar>
          </w:tcPr>
          <w:p>
            <w:pPr>
              <w:spacing w:before="0" w:after="0"/>
            </w:pPr>
            <w:r>
              <w:rPr>
                <w:b w:val="0"/>
                <w:sz w:val="14"/>
              </w:rPr>
              <w:t>michaelis</w:t>
            </w:r>
          </w:p>
        </w:tc>
        <w:tc>
          <w:tcPr>
            <w:tcW w:type="dxa" w:w="1419"/>
            <w:vAlign w:val="top"/>
            <w:tcMar>
              <w:top w:w="35" w:type="dxa"/>
              <w:left w:w="35" w:type="dxa"/>
              <w:bottom w:w="35" w:type="dxa"/>
              <w:right w:w="35" w:type="dxa"/>
            </w:tcMar>
          </w:tcPr>
          <w:p>
            <w:pPr>
              <w:spacing w:before="0" w:after="0"/>
            </w:pPr>
            <w:r>
              <w:rPr>
                <w:b w:val="0"/>
                <w:sz w:val="14"/>
              </w:rPr>
              <w:t>14</w:t>
            </w:r>
          </w:p>
        </w:tc>
        <w:tc>
          <w:tcPr>
            <w:tcW w:type="dxa" w:w="1419"/>
            <w:vAlign w:val="top"/>
            <w:tcMar>
              <w:top w:w="35" w:type="dxa"/>
              <w:left w:w="35" w:type="dxa"/>
              <w:bottom w:w="35" w:type="dxa"/>
              <w:right w:w="35" w:type="dxa"/>
            </w:tcMar>
          </w:tcPr>
          <w:p>
            <w:pPr>
              <w:spacing w:before="0" w:after="0"/>
            </w:pPr>
            <w:r>
              <w:rPr>
                <w:b w:val="0"/>
                <w:sz w:val="14"/>
              </w:rPr>
            </w:r>
            <w:r>
              <w:rPr>
                <w:rFonts w:ascii="Times New Roman" w:hAnsi="Times New Roman"/>
                <w:sz w:val="14"/>
              </w:rPr>
              <w:t>27 [26, 31]</w:t>
            </w:r>
          </w:p>
        </w:tc>
        <w:tc>
          <w:tcPr>
            <w:tcW w:type="dxa" w:w="1419"/>
            <w:vAlign w:val="top"/>
            <w:tcMar>
              <w:top w:w="35" w:type="dxa"/>
              <w:left w:w="35" w:type="dxa"/>
              <w:bottom w:w="35" w:type="dxa"/>
              <w:right w:w="35" w:type="dxa"/>
            </w:tcMar>
          </w:tcPr>
          <w:p>
            <w:pPr>
              <w:spacing w:before="0" w:after="0"/>
            </w:pPr>
            <w:r>
              <w:rPr>
                <w:b w:val="0"/>
                <w:sz w:val="14"/>
              </w:rPr>
              <w:t>extrapolated</w:t>
            </w:r>
          </w:p>
        </w:tc>
      </w:tr>
      <w:tr>
        <w:tc>
          <w:tcPr>
            <w:tcW w:type="dxa" w:w="1419"/>
            <w:vAlign w:val="top"/>
            <w:tcMar>
              <w:top w:w="35" w:type="dxa"/>
              <w:left w:w="35" w:type="dxa"/>
              <w:bottom w:w="35" w:type="dxa"/>
              <w:right w:w="35" w:type="dxa"/>
            </w:tcMar>
          </w:tcPr>
          <w:p>
            <w:pPr>
              <w:spacing w:before="0" w:after="0"/>
            </w:pPr>
            <w:r>
              <w:rPr>
                <w:b w:val="0"/>
                <w:sz w:val="14"/>
              </w:rPr>
              <w:t>Snapshot Serengeti</w:t>
            </w:r>
          </w:p>
        </w:tc>
        <w:tc>
          <w:tcPr>
            <w:tcW w:type="dxa" w:w="1419"/>
            <w:vAlign w:val="top"/>
            <w:tcMar>
              <w:top w:w="35" w:type="dxa"/>
              <w:left w:w="35" w:type="dxa"/>
              <w:bottom w:w="35" w:type="dxa"/>
              <w:right w:w="35" w:type="dxa"/>
            </w:tcMar>
          </w:tcPr>
          <w:p>
            <w:pPr>
              <w:spacing w:before="0" w:after="0"/>
            </w:pPr>
            <w:r>
              <w:rPr>
                <w:b w:val="0"/>
                <w:sz w:val="14"/>
              </w:rPr>
              <w:t>gold accuracy</w:t>
            </w:r>
          </w:p>
        </w:tc>
        <w:tc>
          <w:tcPr>
            <w:tcW w:type="dxa" w:w="1419"/>
            <w:vAlign w:val="top"/>
            <w:tcMar>
              <w:top w:w="35" w:type="dxa"/>
              <w:left w:w="35" w:type="dxa"/>
              <w:bottom w:w="35" w:type="dxa"/>
              <w:right w:w="35" w:type="dxa"/>
            </w:tcMar>
          </w:tcPr>
          <w:p>
            <w:pPr>
              <w:spacing w:before="0" w:after="0"/>
            </w:pPr>
            <w:r>
              <w:rPr>
                <w:b w:val="0"/>
                <w:sz w:val="14"/>
              </w:rPr>
              <w:t>supporting citizen science evidence</w:t>
            </w:r>
          </w:p>
        </w:tc>
        <w:tc>
          <w:tcPr>
            <w:tcW w:type="dxa" w:w="1419"/>
            <w:vAlign w:val="top"/>
            <w:tcMar>
              <w:top w:w="35" w:type="dxa"/>
              <w:left w:w="35" w:type="dxa"/>
              <w:bottom w:w="35" w:type="dxa"/>
              <w:right w:w="35" w:type="dxa"/>
            </w:tcMar>
          </w:tcPr>
          <w:p>
            <w:pPr>
              <w:spacing w:before="0" w:after="0"/>
            </w:pPr>
            <w:r>
              <w:rPr>
                <w:b w:val="0"/>
                <w:sz w:val="14"/>
              </w:rPr>
              <w:t>michaelis</w:t>
            </w:r>
          </w:p>
        </w:tc>
        <w:tc>
          <w:tcPr>
            <w:tcW w:type="dxa" w:w="1419"/>
            <w:vAlign w:val="top"/>
            <w:tcMar>
              <w:top w:w="35" w:type="dxa"/>
              <w:left w:w="35" w:type="dxa"/>
              <w:bottom w:w="35" w:type="dxa"/>
              <w:right w:w="35" w:type="dxa"/>
            </w:tcMar>
          </w:tcPr>
          <w:p>
            <w:pPr>
              <w:spacing w:before="0" w:after="0"/>
            </w:pPr>
            <w:r>
              <w:rPr>
                <w:b w:val="0"/>
                <w:sz w:val="14"/>
              </w:rPr>
              <w:t>15</w:t>
            </w:r>
          </w:p>
        </w:tc>
        <w:tc>
          <w:tcPr>
            <w:tcW w:type="dxa" w:w="1419"/>
            <w:vAlign w:val="top"/>
            <w:tcMar>
              <w:top w:w="35" w:type="dxa"/>
              <w:left w:w="35" w:type="dxa"/>
              <w:bottom w:w="35" w:type="dxa"/>
              <w:right w:w="35" w:type="dxa"/>
            </w:tcMar>
          </w:tcPr>
          <w:p>
            <w:pPr>
              <w:spacing w:before="0" w:after="0"/>
            </w:pPr>
            <w:r>
              <w:rPr>
                <w:b w:val="0"/>
                <w:sz w:val="14"/>
              </w:rPr>
            </w:r>
            <w:r>
              <w:rPr>
                <w:rFonts w:ascii="Times New Roman" w:hAnsi="Times New Roman"/>
                <w:sz w:val="14"/>
              </w:rPr>
              <w:t>30 [29, 31]</w:t>
            </w:r>
          </w:p>
        </w:tc>
        <w:tc>
          <w:tcPr>
            <w:tcW w:type="dxa" w:w="1419"/>
            <w:vAlign w:val="top"/>
            <w:tcMar>
              <w:top w:w="35" w:type="dxa"/>
              <w:left w:w="35" w:type="dxa"/>
              <w:bottom w:w="35" w:type="dxa"/>
              <w:right w:w="35" w:type="dxa"/>
            </w:tcMar>
          </w:tcPr>
          <w:p>
            <w:pPr>
              <w:spacing w:before="0" w:after="0"/>
            </w:pPr>
            <w:r>
              <w:rPr>
                <w:b w:val="0"/>
                <w:sz w:val="14"/>
              </w:rPr>
              <w:t>extrapolated</w:t>
            </w:r>
          </w:p>
        </w:tc>
      </w:tr>
    </w:tbl>
    <w:p>
      <w:pPr>
        <w:spacing w:before="120" w:after="60"/>
        <w:jc w:val="center"/>
      </w:pPr>
      <w:r>
        <w:rPr>
          <w:rFonts w:ascii="Times New Roman" w:hAnsi="Times New Roman"/>
        </w:rPr>
        <w:drawing>
          <wp:inline xmlns:a="http://schemas.openxmlformats.org/drawingml/2006/main" xmlns:pic="http://schemas.openxmlformats.org/drawingml/2006/picture">
            <wp:extent cx="5669280" cy="2984108"/>
            <wp:docPr id="1" name="Picture 1"/>
            <wp:cNvGraphicFramePr>
              <a:graphicFrameLocks noChangeAspect="1"/>
            </wp:cNvGraphicFramePr>
            <a:graphic>
              <a:graphicData uri="http://schemas.openxmlformats.org/drawingml/2006/picture">
                <pic:pic>
                  <pic:nvPicPr>
                    <pic:cNvPr id="0" name="fig2_saturation_curves.png"/>
                    <pic:cNvPicPr/>
                  </pic:nvPicPr>
                  <pic:blipFill>
                    <a:blip r:embed="rId29"/>
                    <a:stretch>
                      <a:fillRect/>
                    </a:stretch>
                  </pic:blipFill>
                  <pic:spPr>
                    <a:xfrm>
                      <a:off x="0" y="0"/>
                      <a:ext cx="5669280" cy="2984108"/>
                    </a:xfrm>
                    <a:prstGeom prst="rect"/>
                  </pic:spPr>
                </pic:pic>
              </a:graphicData>
            </a:graphic>
          </wp:inline>
        </w:drawing>
      </w:r>
    </w:p>
    <w:p>
      <w:pPr>
        <w:pStyle w:val="FigCaption"/>
      </w:pPr>
      <w:r>
        <w:rPr>
          <w:rFonts w:ascii="Times New Roman" w:hAnsi="Times New Roman"/>
        </w:rPr>
        <w:t>Fitted saturation curves for CIFAR-10H and ChaosNLI as the two primary final raw-bootstrap validation domains, with Snapshot Serengeti shown as supporting field evidence only.</w:t>
      </w:r>
    </w:p>
    <w:p>
      <w:pPr>
        <w:spacing w:before="120" w:after="60"/>
        <w:jc w:val="center"/>
      </w:pPr>
      <w:r>
        <w:rPr>
          <w:rFonts w:ascii="Times New Roman" w:hAnsi="Times New Roman"/>
        </w:rPr>
        <w:drawing>
          <wp:inline xmlns:a="http://schemas.openxmlformats.org/drawingml/2006/main" xmlns:pic="http://schemas.openxmlformats.org/drawingml/2006/picture">
            <wp:extent cx="5669280" cy="2984108"/>
            <wp:docPr id="2" name="Picture 2"/>
            <wp:cNvGraphicFramePr>
              <a:graphicFrameLocks noChangeAspect="1"/>
            </wp:cNvGraphicFramePr>
            <a:graphic>
              <a:graphicData uri="http://schemas.openxmlformats.org/drawingml/2006/picture">
                <pic:pic>
                  <pic:nvPicPr>
                    <pic:cNvPr id="0" name="fig3_nstar_lambda_primary.png"/>
                    <pic:cNvPicPr/>
                  </pic:nvPicPr>
                  <pic:blipFill>
                    <a:blip r:embed="rId30"/>
                    <a:stretch>
                      <a:fillRect/>
                    </a:stretch>
                  </pic:blipFill>
                  <pic:spPr>
                    <a:xfrm>
                      <a:off x="0" y="0"/>
                      <a:ext cx="5669280" cy="2984108"/>
                    </a:xfrm>
                    <a:prstGeom prst="rect"/>
                  </pic:spPr>
                </pic:pic>
              </a:graphicData>
            </a:graphic>
          </wp:inline>
        </w:drawing>
      </w:r>
    </w:p>
    <w:p>
      <w:pPr>
        <w:pStyle w:val="FigCaption"/>
      </w:pPr>
      <w:r>
        <w:rPr>
          <w:rFonts w:ascii="Times New Roman" w:hAnsi="Times New Roman"/>
        </w:rPr>
      </w:r>
      <w:r>
        <w:t>Utility-optimal N* as a function of λ under observed-maximum budgets for the two primary validation datasets. Horizontal reference levels correspond to N_95.</w:t>
      </w:r>
    </w:p>
    <w:p>
      <w:pPr>
        <w:spacing w:before="120" w:after="60"/>
        <w:jc w:val="center"/>
      </w:pPr>
      <w:r>
        <w:rPr>
          <w:rFonts w:ascii="Times New Roman" w:hAnsi="Times New Roman"/>
        </w:rPr>
        <w:drawing>
          <wp:inline xmlns:a="http://schemas.openxmlformats.org/drawingml/2006/main" xmlns:pic="http://schemas.openxmlformats.org/drawingml/2006/picture">
            <wp:extent cx="5669280" cy="2984108"/>
            <wp:docPr id="3" name="Picture 3"/>
            <wp:cNvGraphicFramePr>
              <a:graphicFrameLocks noChangeAspect="1"/>
            </wp:cNvGraphicFramePr>
            <a:graphic>
              <a:graphicData uri="http://schemas.openxmlformats.org/drawingml/2006/picture">
                <pic:pic>
                  <pic:nvPicPr>
                    <pic:cNvPr id="0" name="fig5_budget_sensitivity.png"/>
                    <pic:cNvPicPr/>
                  </pic:nvPicPr>
                  <pic:blipFill>
                    <a:blip r:embed="rId31"/>
                    <a:stretch>
                      <a:fillRect/>
                    </a:stretch>
                  </pic:blipFill>
                  <pic:spPr>
                    <a:xfrm>
                      <a:off x="0" y="0"/>
                      <a:ext cx="5669280" cy="2984108"/>
                    </a:xfrm>
                    <a:prstGeom prst="rect"/>
                  </pic:spPr>
                </pic:pic>
              </a:graphicData>
            </a:graphic>
          </wp:inline>
        </w:drawing>
      </w:r>
    </w:p>
    <w:p>
      <w:pPr>
        <w:pStyle w:val="FigCaption"/>
      </w:pPr>
      <w:r>
        <w:rPr>
          <w:rFonts w:ascii="Times New Roman" w:hAnsi="Times New Roman"/>
        </w:rPr>
      </w:r>
      <w:r>
        <w:t>Budget sensitivity of N*/N_95. Values below one indicate early stopping before N_95. The high-λ CIFAR-10H case is intentionally reported rather than suppressed.</w:t>
      </w:r>
    </w:p>
    <w:p>
      <w:pPr>
        <w:pStyle w:val="TableCaption"/>
      </w:pPr>
      <w:r>
        <w:rPr>
          <w:rFonts w:ascii="Times New Roman" w:hAnsi="Times New Roman"/>
        </w:rPr>
      </w:r>
      <w:r/>
      <w:r>
        <w:rPr>
          <w:b/>
        </w:rPr>
        <w:t>TABLE III. Budget sensitivity of utility optima. Entries are N* with N*/N_95 in parentheses.</w:t>
      </w:r>
    </w:p>
    <w:tbl>
      <w:tblPr>
        <w:tblW w:type="auto" w:w="0"/>
        <w:jc w:val="center"/>
        <w:tblLayout w:type="autofit"/>
        <w:tblLook w:firstColumn="1" w:firstRow="1" w:lastColumn="0" w:lastRow="0" w:noHBand="0" w:noVBand="1" w:val="04A0"/>
      </w:tblPr>
      <w:tblGrid>
        <w:gridCol w:w="1656"/>
        <w:gridCol w:w="1656"/>
        <w:gridCol w:w="1656"/>
        <w:gridCol w:w="1656"/>
        <w:gridCol w:w="1656"/>
        <w:gridCol w:w="1656"/>
      </w:tblGrid>
      <w:tr>
        <w:tc>
          <w:tcPr>
            <w:tcW w:type="dxa" w:w="1656"/>
            <w:vAlign w:val="top"/>
            <w:tcMar>
              <w:top w:w="35" w:type="dxa"/>
              <w:left w:w="35" w:type="dxa"/>
              <w:bottom w:w="35" w:type="dxa"/>
              <w:right w:w="35" w:type="dxa"/>
            </w:tcMar>
          </w:tcPr>
          <w:p>
            <w:pPr>
              <w:spacing w:before="0" w:after="0"/>
            </w:pPr>
            <w:r>
              <w:rPr>
                <w:b/>
                <w:sz w:val="14"/>
              </w:rPr>
              <w:t>Dataset</w:t>
            </w:r>
          </w:p>
        </w:tc>
        <w:tc>
          <w:tcPr>
            <w:tcW w:type="dxa" w:w="1656"/>
            <w:vAlign w:val="top"/>
            <w:tcMar>
              <w:top w:w="35" w:type="dxa"/>
              <w:left w:w="35" w:type="dxa"/>
              <w:bottom w:w="35" w:type="dxa"/>
              <w:right w:w="35" w:type="dxa"/>
            </w:tcMar>
          </w:tcPr>
          <w:p>
            <w:pPr>
              <w:spacing w:before="0" w:after="0"/>
            </w:pPr>
            <w:r>
              <w:rPr>
                <w:b/>
                <w:sz w:val="14"/>
              </w:rPr>
              <w:t>Mode</w:t>
            </w:r>
          </w:p>
        </w:tc>
        <w:tc>
          <w:tcPr>
            <w:tcW w:type="dxa" w:w="1656"/>
            <w:vAlign w:val="top"/>
            <w:tcMar>
              <w:top w:w="35" w:type="dxa"/>
              <w:left w:w="35" w:type="dxa"/>
              <w:bottom w:w="35" w:type="dxa"/>
              <w:right w:w="35" w:type="dxa"/>
            </w:tcMar>
          </w:tcPr>
          <w:p>
            <w:pPr>
              <w:spacing w:before="0" w:after="0"/>
            </w:pPr>
            <w:r>
              <w:rPr>
                <w:b/>
                <w:sz w:val="14"/>
              </w:rPr>
            </w:r>
            <w:r>
              <w:rPr>
                <w:sz w:val="14"/>
              </w:rPr>
              <w:t>λ</w:t>
            </w:r>
          </w:p>
        </w:tc>
        <w:tc>
          <w:tcPr>
            <w:tcW w:type="dxa" w:w="1656"/>
            <w:vAlign w:val="top"/>
            <w:tcMar>
              <w:top w:w="35" w:type="dxa"/>
              <w:left w:w="35" w:type="dxa"/>
              <w:bottom w:w="35" w:type="dxa"/>
              <w:right w:w="35" w:type="dxa"/>
            </w:tcMar>
          </w:tcPr>
          <w:p>
            <w:pPr>
              <w:spacing w:before="0" w:after="0"/>
            </w:pPr>
            <w:r>
              <w:rPr>
                <w:b/>
                <w:sz w:val="14"/>
              </w:rPr>
              <w:t>Observed max</w:t>
            </w:r>
          </w:p>
        </w:tc>
        <w:tc>
          <w:tcPr>
            <w:tcW w:type="dxa" w:w="1656"/>
            <w:vAlign w:val="top"/>
            <w:tcMar>
              <w:top w:w="35" w:type="dxa"/>
              <w:left w:w="35" w:type="dxa"/>
              <w:bottom w:w="35" w:type="dxa"/>
              <w:right w:w="35" w:type="dxa"/>
            </w:tcMar>
          </w:tcPr>
          <w:p>
            <w:pPr>
              <w:spacing w:before="0" w:after="0"/>
            </w:pPr>
            <w:r>
              <w:rPr>
                <w:b/>
                <w:sz w:val="14"/>
              </w:rPr>
            </w:r>
            <w:r>
              <w:rPr>
                <w:sz w:val="14"/>
              </w:rPr>
              <w:t>N_95 budget</w:t>
            </w:r>
          </w:p>
        </w:tc>
        <w:tc>
          <w:tcPr>
            <w:tcW w:type="dxa" w:w="1656"/>
            <w:vAlign w:val="top"/>
            <w:tcMar>
              <w:top w:w="35" w:type="dxa"/>
              <w:left w:w="35" w:type="dxa"/>
              <w:bottom w:w="35" w:type="dxa"/>
              <w:right w:w="35" w:type="dxa"/>
            </w:tcMar>
          </w:tcPr>
          <w:p>
            <w:pPr>
              <w:spacing w:before="0" w:after="0"/>
            </w:pPr>
            <w:r>
              <w:rPr>
                <w:b/>
                <w:sz w:val="14"/>
              </w:rPr>
              <w:t>Fixed cap 50</w:t>
            </w:r>
          </w:p>
        </w:tc>
      </w:tr>
      <w:tr>
        <w:tc>
          <w:tcPr>
            <w:tcW w:type="dxa" w:w="1656"/>
            <w:vAlign w:val="top"/>
            <w:tcMar>
              <w:top w:w="35" w:type="dxa"/>
              <w:left w:w="35" w:type="dxa"/>
              <w:bottom w:w="35" w:type="dxa"/>
              <w:right w:w="35" w:type="dxa"/>
            </w:tcMar>
          </w:tcPr>
          <w:p>
            <w:pPr>
              <w:spacing w:before="0" w:after="0"/>
            </w:pPr>
            <w:r>
              <w:rPr>
                <w:b w:val="0"/>
                <w:sz w:val="14"/>
              </w:rPr>
              <w:t>CIFAR-10H</w:t>
            </w:r>
          </w:p>
        </w:tc>
        <w:tc>
          <w:tcPr>
            <w:tcW w:type="dxa" w:w="1656"/>
            <w:vAlign w:val="top"/>
            <w:tcMar>
              <w:top w:w="35" w:type="dxa"/>
              <w:left w:w="35" w:type="dxa"/>
              <w:bottom w:w="35" w:type="dxa"/>
              <w:right w:w="35" w:type="dxa"/>
            </w:tcMar>
          </w:tcPr>
          <w:p>
            <w:pPr>
              <w:spacing w:before="0" w:after="0"/>
            </w:pPr>
            <w:r>
              <w:rPr>
                <w:b w:val="0"/>
                <w:sz w:val="14"/>
              </w:rPr>
              <w:t>gold accuracy</w:t>
            </w:r>
          </w:p>
        </w:tc>
        <w:tc>
          <w:tcPr>
            <w:tcW w:type="dxa" w:w="1656"/>
            <w:vAlign w:val="top"/>
            <w:tcMar>
              <w:top w:w="35" w:type="dxa"/>
              <w:left w:w="35" w:type="dxa"/>
              <w:bottom w:w="35" w:type="dxa"/>
              <w:right w:w="35" w:type="dxa"/>
            </w:tcMar>
          </w:tcPr>
          <w:p>
            <w:pPr>
              <w:spacing w:before="0" w:after="0"/>
            </w:pPr>
            <w:r>
              <w:rPr>
                <w:b w:val="0"/>
                <w:sz w:val="14"/>
              </w:rPr>
              <w:t>0.25</w:t>
            </w:r>
          </w:p>
        </w:tc>
        <w:tc>
          <w:tcPr>
            <w:tcW w:type="dxa" w:w="1656"/>
            <w:vAlign w:val="top"/>
            <w:tcMar>
              <w:top w:w="35" w:type="dxa"/>
              <w:left w:w="35" w:type="dxa"/>
              <w:bottom w:w="35" w:type="dxa"/>
              <w:right w:w="35" w:type="dxa"/>
            </w:tcMar>
          </w:tcPr>
          <w:p>
            <w:pPr>
              <w:spacing w:before="0" w:after="0"/>
            </w:pPr>
            <w:r>
              <w:rPr>
                <w:b w:val="0"/>
                <w:sz w:val="14"/>
              </w:rPr>
              <w:t>4 (0.18)</w:t>
            </w:r>
          </w:p>
        </w:tc>
        <w:tc>
          <w:tcPr>
            <w:tcW w:type="dxa" w:w="1656"/>
            <w:vAlign w:val="top"/>
            <w:tcMar>
              <w:top w:w="35" w:type="dxa"/>
              <w:left w:w="35" w:type="dxa"/>
              <w:bottom w:w="35" w:type="dxa"/>
              <w:right w:w="35" w:type="dxa"/>
            </w:tcMar>
          </w:tcPr>
          <w:p>
            <w:pPr>
              <w:spacing w:before="0" w:after="0"/>
            </w:pPr>
            <w:r>
              <w:rPr>
                <w:b w:val="0"/>
                <w:sz w:val="14"/>
              </w:rPr>
              <w:t>3 (0.14)</w:t>
            </w:r>
          </w:p>
        </w:tc>
        <w:tc>
          <w:tcPr>
            <w:tcW w:type="dxa" w:w="1656"/>
            <w:vAlign w:val="top"/>
            <w:tcMar>
              <w:top w:w="35" w:type="dxa"/>
              <w:left w:w="35" w:type="dxa"/>
              <w:bottom w:w="35" w:type="dxa"/>
              <w:right w:w="35" w:type="dxa"/>
            </w:tcMar>
          </w:tcPr>
          <w:p>
            <w:pPr>
              <w:spacing w:before="0" w:after="0"/>
            </w:pPr>
            <w:r>
              <w:rPr>
                <w:b w:val="0"/>
                <w:sz w:val="14"/>
              </w:rPr>
              <w:t>4 (0.18)</w:t>
            </w:r>
          </w:p>
        </w:tc>
      </w:tr>
      <w:tr>
        <w:tc>
          <w:tcPr>
            <w:tcW w:type="dxa" w:w="1656"/>
            <w:vAlign w:val="top"/>
            <w:tcMar>
              <w:top w:w="35" w:type="dxa"/>
              <w:left w:w="35" w:type="dxa"/>
              <w:bottom w:w="35" w:type="dxa"/>
              <w:right w:w="35" w:type="dxa"/>
            </w:tcMar>
          </w:tcPr>
          <w:p>
            <w:pPr>
              <w:spacing w:before="0" w:after="0"/>
            </w:pPr>
            <w:r>
              <w:rPr>
                <w:b w:val="0"/>
                <w:sz w:val="14"/>
              </w:rPr>
              <w:t>CIFAR-10H</w:t>
            </w:r>
          </w:p>
        </w:tc>
        <w:tc>
          <w:tcPr>
            <w:tcW w:type="dxa" w:w="1656"/>
            <w:vAlign w:val="top"/>
            <w:tcMar>
              <w:top w:w="35" w:type="dxa"/>
              <w:left w:w="35" w:type="dxa"/>
              <w:bottom w:w="35" w:type="dxa"/>
              <w:right w:w="35" w:type="dxa"/>
            </w:tcMar>
          </w:tcPr>
          <w:p>
            <w:pPr>
              <w:spacing w:before="0" w:after="0"/>
            </w:pPr>
            <w:r>
              <w:rPr>
                <w:b w:val="0"/>
                <w:sz w:val="14"/>
              </w:rPr>
              <w:t>gold accuracy</w:t>
            </w:r>
          </w:p>
        </w:tc>
        <w:tc>
          <w:tcPr>
            <w:tcW w:type="dxa" w:w="1656"/>
            <w:vAlign w:val="top"/>
            <w:tcMar>
              <w:top w:w="35" w:type="dxa"/>
              <w:left w:w="35" w:type="dxa"/>
              <w:bottom w:w="35" w:type="dxa"/>
              <w:right w:w="35" w:type="dxa"/>
            </w:tcMar>
          </w:tcPr>
          <w:p>
            <w:pPr>
              <w:spacing w:before="0" w:after="0"/>
            </w:pPr>
            <w:r>
              <w:rPr>
                <w:b w:val="0"/>
                <w:sz w:val="14"/>
              </w:rPr>
              <w:t>0.50</w:t>
            </w:r>
          </w:p>
        </w:tc>
        <w:tc>
          <w:tcPr>
            <w:tcW w:type="dxa" w:w="1656"/>
            <w:vAlign w:val="top"/>
            <w:tcMar>
              <w:top w:w="35" w:type="dxa"/>
              <w:left w:w="35" w:type="dxa"/>
              <w:bottom w:w="35" w:type="dxa"/>
              <w:right w:w="35" w:type="dxa"/>
            </w:tcMar>
          </w:tcPr>
          <w:p>
            <w:pPr>
              <w:spacing w:before="0" w:after="0"/>
            </w:pPr>
            <w:r>
              <w:rPr>
                <w:b w:val="0"/>
                <w:sz w:val="14"/>
              </w:rPr>
              <w:t>7 (0.32)</w:t>
            </w:r>
          </w:p>
        </w:tc>
        <w:tc>
          <w:tcPr>
            <w:tcW w:type="dxa" w:w="1656"/>
            <w:vAlign w:val="top"/>
            <w:tcMar>
              <w:top w:w="35" w:type="dxa"/>
              <w:left w:w="35" w:type="dxa"/>
              <w:bottom w:w="35" w:type="dxa"/>
              <w:right w:w="35" w:type="dxa"/>
            </w:tcMar>
          </w:tcPr>
          <w:p>
            <w:pPr>
              <w:spacing w:before="0" w:after="0"/>
            </w:pPr>
            <w:r>
              <w:rPr>
                <w:b w:val="0"/>
                <w:sz w:val="14"/>
              </w:rPr>
              <w:t>5 (0.23)</w:t>
            </w:r>
          </w:p>
        </w:tc>
        <w:tc>
          <w:tcPr>
            <w:tcW w:type="dxa" w:w="1656"/>
            <w:vAlign w:val="top"/>
            <w:tcMar>
              <w:top w:w="35" w:type="dxa"/>
              <w:left w:w="35" w:type="dxa"/>
              <w:bottom w:w="35" w:type="dxa"/>
              <w:right w:w="35" w:type="dxa"/>
            </w:tcMar>
          </w:tcPr>
          <w:p>
            <w:pPr>
              <w:spacing w:before="0" w:after="0"/>
            </w:pPr>
            <w:r>
              <w:rPr>
                <w:b w:val="0"/>
                <w:sz w:val="14"/>
              </w:rPr>
              <w:t>7 (0.32)</w:t>
            </w:r>
          </w:p>
        </w:tc>
      </w:tr>
      <w:tr>
        <w:tc>
          <w:tcPr>
            <w:tcW w:type="dxa" w:w="1656"/>
            <w:vAlign w:val="top"/>
            <w:tcMar>
              <w:top w:w="35" w:type="dxa"/>
              <w:left w:w="35" w:type="dxa"/>
              <w:bottom w:w="35" w:type="dxa"/>
              <w:right w:w="35" w:type="dxa"/>
            </w:tcMar>
          </w:tcPr>
          <w:p>
            <w:pPr>
              <w:spacing w:before="0" w:after="0"/>
            </w:pPr>
            <w:r>
              <w:rPr>
                <w:b w:val="0"/>
                <w:sz w:val="14"/>
              </w:rPr>
              <w:t>CIFAR-10H</w:t>
            </w:r>
          </w:p>
        </w:tc>
        <w:tc>
          <w:tcPr>
            <w:tcW w:type="dxa" w:w="1656"/>
            <w:vAlign w:val="top"/>
            <w:tcMar>
              <w:top w:w="35" w:type="dxa"/>
              <w:left w:w="35" w:type="dxa"/>
              <w:bottom w:w="35" w:type="dxa"/>
              <w:right w:w="35" w:type="dxa"/>
            </w:tcMar>
          </w:tcPr>
          <w:p>
            <w:pPr>
              <w:spacing w:before="0" w:after="0"/>
            </w:pPr>
            <w:r>
              <w:rPr>
                <w:b w:val="0"/>
                <w:sz w:val="14"/>
              </w:rPr>
              <w:t>gold accuracy</w:t>
            </w:r>
          </w:p>
        </w:tc>
        <w:tc>
          <w:tcPr>
            <w:tcW w:type="dxa" w:w="1656"/>
            <w:vAlign w:val="top"/>
            <w:tcMar>
              <w:top w:w="35" w:type="dxa"/>
              <w:left w:w="35" w:type="dxa"/>
              <w:bottom w:w="35" w:type="dxa"/>
              <w:right w:w="35" w:type="dxa"/>
            </w:tcMar>
          </w:tcPr>
          <w:p>
            <w:pPr>
              <w:spacing w:before="0" w:after="0"/>
            </w:pPr>
            <w:r>
              <w:rPr>
                <w:b w:val="0"/>
                <w:sz w:val="14"/>
              </w:rPr>
              <w:t>0.75</w:t>
            </w:r>
          </w:p>
        </w:tc>
        <w:tc>
          <w:tcPr>
            <w:tcW w:type="dxa" w:w="1656"/>
            <w:vAlign w:val="top"/>
            <w:tcMar>
              <w:top w:w="35" w:type="dxa"/>
              <w:left w:w="35" w:type="dxa"/>
              <w:bottom w:w="35" w:type="dxa"/>
              <w:right w:w="35" w:type="dxa"/>
            </w:tcMar>
          </w:tcPr>
          <w:p>
            <w:pPr>
              <w:spacing w:before="0" w:after="0"/>
            </w:pPr>
            <w:r>
              <w:rPr>
                <w:b w:val="0"/>
                <w:sz w:val="14"/>
              </w:rPr>
              <w:t>13 (0.59)</w:t>
            </w:r>
          </w:p>
        </w:tc>
        <w:tc>
          <w:tcPr>
            <w:tcW w:type="dxa" w:w="1656"/>
            <w:vAlign w:val="top"/>
            <w:tcMar>
              <w:top w:w="35" w:type="dxa"/>
              <w:left w:w="35" w:type="dxa"/>
              <w:bottom w:w="35" w:type="dxa"/>
              <w:right w:w="35" w:type="dxa"/>
            </w:tcMar>
          </w:tcPr>
          <w:p>
            <w:pPr>
              <w:spacing w:before="0" w:after="0"/>
            </w:pPr>
            <w:r>
              <w:rPr>
                <w:b w:val="0"/>
                <w:sz w:val="14"/>
              </w:rPr>
              <w:t>9 (0.41)</w:t>
            </w:r>
          </w:p>
        </w:tc>
        <w:tc>
          <w:tcPr>
            <w:tcW w:type="dxa" w:w="1656"/>
            <w:vAlign w:val="top"/>
            <w:tcMar>
              <w:top w:w="35" w:type="dxa"/>
              <w:left w:w="35" w:type="dxa"/>
              <w:bottom w:w="35" w:type="dxa"/>
              <w:right w:w="35" w:type="dxa"/>
            </w:tcMar>
          </w:tcPr>
          <w:p>
            <w:pPr>
              <w:spacing w:before="0" w:after="0"/>
            </w:pPr>
            <w:r>
              <w:rPr>
                <w:b w:val="0"/>
                <w:sz w:val="14"/>
              </w:rPr>
              <w:t>13 (0.59)</w:t>
            </w:r>
          </w:p>
        </w:tc>
      </w:tr>
      <w:tr>
        <w:tc>
          <w:tcPr>
            <w:tcW w:type="dxa" w:w="1656"/>
            <w:vAlign w:val="top"/>
            <w:tcMar>
              <w:top w:w="35" w:type="dxa"/>
              <w:left w:w="35" w:type="dxa"/>
              <w:bottom w:w="35" w:type="dxa"/>
              <w:right w:w="35" w:type="dxa"/>
            </w:tcMar>
          </w:tcPr>
          <w:p>
            <w:pPr>
              <w:spacing w:before="0" w:after="0"/>
            </w:pPr>
            <w:r>
              <w:rPr>
                <w:b w:val="0"/>
                <w:sz w:val="14"/>
              </w:rPr>
              <w:t>CIFAR-10H</w:t>
            </w:r>
          </w:p>
        </w:tc>
        <w:tc>
          <w:tcPr>
            <w:tcW w:type="dxa" w:w="1656"/>
            <w:vAlign w:val="top"/>
            <w:tcMar>
              <w:top w:w="35" w:type="dxa"/>
              <w:left w:w="35" w:type="dxa"/>
              <w:bottom w:w="35" w:type="dxa"/>
              <w:right w:w="35" w:type="dxa"/>
            </w:tcMar>
          </w:tcPr>
          <w:p>
            <w:pPr>
              <w:spacing w:before="0" w:after="0"/>
            </w:pPr>
            <w:r>
              <w:rPr>
                <w:b w:val="0"/>
                <w:sz w:val="14"/>
              </w:rPr>
              <w:t>gold accuracy</w:t>
            </w:r>
          </w:p>
        </w:tc>
        <w:tc>
          <w:tcPr>
            <w:tcW w:type="dxa" w:w="1656"/>
            <w:vAlign w:val="top"/>
            <w:tcMar>
              <w:top w:w="35" w:type="dxa"/>
              <w:left w:w="35" w:type="dxa"/>
              <w:bottom w:w="35" w:type="dxa"/>
              <w:right w:w="35" w:type="dxa"/>
            </w:tcMar>
          </w:tcPr>
          <w:p>
            <w:pPr>
              <w:spacing w:before="0" w:after="0"/>
            </w:pPr>
            <w:r>
              <w:rPr>
                <w:b w:val="0"/>
                <w:sz w:val="14"/>
              </w:rPr>
              <w:t>0.90</w:t>
            </w:r>
          </w:p>
        </w:tc>
        <w:tc>
          <w:tcPr>
            <w:tcW w:type="dxa" w:w="1656"/>
            <w:vAlign w:val="top"/>
            <w:tcMar>
              <w:top w:w="35" w:type="dxa"/>
              <w:left w:w="35" w:type="dxa"/>
              <w:bottom w:w="35" w:type="dxa"/>
              <w:right w:w="35" w:type="dxa"/>
            </w:tcMar>
          </w:tcPr>
          <w:p>
            <w:pPr>
              <w:spacing w:before="0" w:after="0"/>
            </w:pPr>
            <w:r>
              <w:rPr>
                <w:b w:val="0"/>
                <w:sz w:val="14"/>
              </w:rPr>
              <w:t>23 (1.05)</w:t>
            </w:r>
          </w:p>
        </w:tc>
        <w:tc>
          <w:tcPr>
            <w:tcW w:type="dxa" w:w="1656"/>
            <w:vAlign w:val="top"/>
            <w:tcMar>
              <w:top w:w="35" w:type="dxa"/>
              <w:left w:w="35" w:type="dxa"/>
              <w:bottom w:w="35" w:type="dxa"/>
              <w:right w:w="35" w:type="dxa"/>
            </w:tcMar>
          </w:tcPr>
          <w:p>
            <w:pPr>
              <w:spacing w:before="0" w:after="0"/>
            </w:pPr>
            <w:r>
              <w:rPr>
                <w:b w:val="0"/>
                <w:sz w:val="14"/>
              </w:rPr>
              <w:t>15 (0.68)</w:t>
            </w:r>
          </w:p>
        </w:tc>
        <w:tc>
          <w:tcPr>
            <w:tcW w:type="dxa" w:w="1656"/>
            <w:vAlign w:val="top"/>
            <w:tcMar>
              <w:top w:w="35" w:type="dxa"/>
              <w:left w:w="35" w:type="dxa"/>
              <w:bottom w:w="35" w:type="dxa"/>
              <w:right w:w="35" w:type="dxa"/>
            </w:tcMar>
          </w:tcPr>
          <w:p>
            <w:pPr>
              <w:spacing w:before="0" w:after="0"/>
            </w:pPr>
            <w:r>
              <w:rPr>
                <w:b w:val="0"/>
                <w:sz w:val="14"/>
              </w:rPr>
              <w:t>23 (1.05)</w:t>
            </w:r>
          </w:p>
        </w:tc>
      </w:tr>
      <w:tr>
        <w:tc>
          <w:tcPr>
            <w:tcW w:type="dxa" w:w="1656"/>
            <w:vAlign w:val="top"/>
            <w:tcMar>
              <w:top w:w="35" w:type="dxa"/>
              <w:left w:w="35" w:type="dxa"/>
              <w:bottom w:w="35" w:type="dxa"/>
              <w:right w:w="35" w:type="dxa"/>
            </w:tcMar>
          </w:tcPr>
          <w:p>
            <w:pPr>
              <w:spacing w:before="0" w:after="0"/>
            </w:pPr>
            <w:r>
              <w:rPr>
                <w:b w:val="0"/>
                <w:sz w:val="14"/>
              </w:rPr>
              <w:t>ChaosNLI</w:t>
            </w:r>
          </w:p>
        </w:tc>
        <w:tc>
          <w:tcPr>
            <w:tcW w:type="dxa" w:w="1656"/>
            <w:vAlign w:val="top"/>
            <w:tcMar>
              <w:top w:w="35" w:type="dxa"/>
              <w:left w:w="35" w:type="dxa"/>
              <w:bottom w:w="35" w:type="dxa"/>
              <w:right w:w="35" w:type="dxa"/>
            </w:tcMar>
          </w:tcPr>
          <w:p>
            <w:pPr>
              <w:spacing w:before="0" w:after="0"/>
            </w:pPr>
            <w:r>
              <w:rPr>
                <w:b w:val="0"/>
                <w:sz w:val="14"/>
              </w:rPr>
              <w:t>reference distribution</w:t>
            </w:r>
          </w:p>
        </w:tc>
        <w:tc>
          <w:tcPr>
            <w:tcW w:type="dxa" w:w="1656"/>
            <w:vAlign w:val="top"/>
            <w:tcMar>
              <w:top w:w="35" w:type="dxa"/>
              <w:left w:w="35" w:type="dxa"/>
              <w:bottom w:w="35" w:type="dxa"/>
              <w:right w:w="35" w:type="dxa"/>
            </w:tcMar>
          </w:tcPr>
          <w:p>
            <w:pPr>
              <w:spacing w:before="0" w:after="0"/>
            </w:pPr>
            <w:r>
              <w:rPr>
                <w:b w:val="0"/>
                <w:sz w:val="14"/>
              </w:rPr>
              <w:t>0.25</w:t>
            </w:r>
          </w:p>
        </w:tc>
        <w:tc>
          <w:tcPr>
            <w:tcW w:type="dxa" w:w="1656"/>
            <w:vAlign w:val="top"/>
            <w:tcMar>
              <w:top w:w="35" w:type="dxa"/>
              <w:left w:w="35" w:type="dxa"/>
              <w:bottom w:w="35" w:type="dxa"/>
              <w:right w:w="35" w:type="dxa"/>
            </w:tcMar>
          </w:tcPr>
          <w:p>
            <w:pPr>
              <w:spacing w:before="0" w:after="0"/>
            </w:pPr>
            <w:r>
              <w:rPr>
                <w:b w:val="0"/>
                <w:sz w:val="14"/>
              </w:rPr>
              <w:t>5 (0.19)</w:t>
            </w:r>
          </w:p>
        </w:tc>
        <w:tc>
          <w:tcPr>
            <w:tcW w:type="dxa" w:w="1656"/>
            <w:vAlign w:val="top"/>
            <w:tcMar>
              <w:top w:w="35" w:type="dxa"/>
              <w:left w:w="35" w:type="dxa"/>
              <w:bottom w:w="35" w:type="dxa"/>
              <w:right w:w="35" w:type="dxa"/>
            </w:tcMar>
          </w:tcPr>
          <w:p>
            <w:pPr>
              <w:spacing w:before="0" w:after="0"/>
            </w:pPr>
            <w:r>
              <w:rPr>
                <w:b w:val="0"/>
                <w:sz w:val="14"/>
              </w:rPr>
              <w:t>3 (0.11)</w:t>
            </w:r>
          </w:p>
        </w:tc>
        <w:tc>
          <w:tcPr>
            <w:tcW w:type="dxa" w:w="1656"/>
            <w:vAlign w:val="top"/>
            <w:tcMar>
              <w:top w:w="35" w:type="dxa"/>
              <w:left w:w="35" w:type="dxa"/>
              <w:bottom w:w="35" w:type="dxa"/>
              <w:right w:w="35" w:type="dxa"/>
            </w:tcMar>
          </w:tcPr>
          <w:p>
            <w:pPr>
              <w:spacing w:before="0" w:after="0"/>
            </w:pPr>
            <w:r>
              <w:rPr>
                <w:b w:val="0"/>
                <w:sz w:val="14"/>
              </w:rPr>
              <w:t>5 (0.19)</w:t>
            </w:r>
          </w:p>
        </w:tc>
      </w:tr>
      <w:tr>
        <w:tc>
          <w:tcPr>
            <w:tcW w:type="dxa" w:w="1656"/>
            <w:vAlign w:val="top"/>
            <w:tcMar>
              <w:top w:w="35" w:type="dxa"/>
              <w:left w:w="35" w:type="dxa"/>
              <w:bottom w:w="35" w:type="dxa"/>
              <w:right w:w="35" w:type="dxa"/>
            </w:tcMar>
          </w:tcPr>
          <w:p>
            <w:pPr>
              <w:spacing w:before="0" w:after="0"/>
            </w:pPr>
            <w:r>
              <w:rPr>
                <w:b w:val="0"/>
                <w:sz w:val="14"/>
              </w:rPr>
              <w:t>ChaosNLI</w:t>
            </w:r>
          </w:p>
        </w:tc>
        <w:tc>
          <w:tcPr>
            <w:tcW w:type="dxa" w:w="1656"/>
            <w:vAlign w:val="top"/>
            <w:tcMar>
              <w:top w:w="35" w:type="dxa"/>
              <w:left w:w="35" w:type="dxa"/>
              <w:bottom w:w="35" w:type="dxa"/>
              <w:right w:w="35" w:type="dxa"/>
            </w:tcMar>
          </w:tcPr>
          <w:p>
            <w:pPr>
              <w:spacing w:before="0" w:after="0"/>
            </w:pPr>
            <w:r>
              <w:rPr>
                <w:b w:val="0"/>
                <w:sz w:val="14"/>
              </w:rPr>
              <w:t>reference distribution</w:t>
            </w:r>
          </w:p>
        </w:tc>
        <w:tc>
          <w:tcPr>
            <w:tcW w:type="dxa" w:w="1656"/>
            <w:vAlign w:val="top"/>
            <w:tcMar>
              <w:top w:w="35" w:type="dxa"/>
              <w:left w:w="35" w:type="dxa"/>
              <w:bottom w:w="35" w:type="dxa"/>
              <w:right w:w="35" w:type="dxa"/>
            </w:tcMar>
          </w:tcPr>
          <w:p>
            <w:pPr>
              <w:spacing w:before="0" w:after="0"/>
            </w:pPr>
            <w:r>
              <w:rPr>
                <w:b w:val="0"/>
                <w:sz w:val="14"/>
              </w:rPr>
              <w:t>0.50</w:t>
            </w:r>
          </w:p>
        </w:tc>
        <w:tc>
          <w:tcPr>
            <w:tcW w:type="dxa" w:w="1656"/>
            <w:vAlign w:val="top"/>
            <w:tcMar>
              <w:top w:w="35" w:type="dxa"/>
              <w:left w:w="35" w:type="dxa"/>
              <w:bottom w:w="35" w:type="dxa"/>
              <w:right w:w="35" w:type="dxa"/>
            </w:tcMar>
          </w:tcPr>
          <w:p>
            <w:pPr>
              <w:spacing w:before="0" w:after="0"/>
            </w:pPr>
            <w:r>
              <w:rPr>
                <w:b w:val="0"/>
                <w:sz w:val="14"/>
              </w:rPr>
              <w:t>8 (0.30)</w:t>
            </w:r>
          </w:p>
        </w:tc>
        <w:tc>
          <w:tcPr>
            <w:tcW w:type="dxa" w:w="1656"/>
            <w:vAlign w:val="top"/>
            <w:tcMar>
              <w:top w:w="35" w:type="dxa"/>
              <w:left w:w="35" w:type="dxa"/>
              <w:bottom w:w="35" w:type="dxa"/>
              <w:right w:w="35" w:type="dxa"/>
            </w:tcMar>
          </w:tcPr>
          <w:p>
            <w:pPr>
              <w:spacing w:before="0" w:after="0"/>
            </w:pPr>
            <w:r>
              <w:rPr>
                <w:b w:val="0"/>
                <w:sz w:val="14"/>
              </w:rPr>
              <w:t>6 (0.22)</w:t>
            </w:r>
          </w:p>
        </w:tc>
        <w:tc>
          <w:tcPr>
            <w:tcW w:type="dxa" w:w="1656"/>
            <w:vAlign w:val="top"/>
            <w:tcMar>
              <w:top w:w="35" w:type="dxa"/>
              <w:left w:w="35" w:type="dxa"/>
              <w:bottom w:w="35" w:type="dxa"/>
              <w:right w:w="35" w:type="dxa"/>
            </w:tcMar>
          </w:tcPr>
          <w:p>
            <w:pPr>
              <w:spacing w:before="0" w:after="0"/>
            </w:pPr>
            <w:r>
              <w:rPr>
                <w:b w:val="0"/>
                <w:sz w:val="14"/>
              </w:rPr>
              <w:t>8 (0.30)</w:t>
            </w:r>
          </w:p>
        </w:tc>
      </w:tr>
      <w:tr>
        <w:tc>
          <w:tcPr>
            <w:tcW w:type="dxa" w:w="1656"/>
            <w:vAlign w:val="top"/>
            <w:tcMar>
              <w:top w:w="35" w:type="dxa"/>
              <w:left w:w="35" w:type="dxa"/>
              <w:bottom w:w="35" w:type="dxa"/>
              <w:right w:w="35" w:type="dxa"/>
            </w:tcMar>
          </w:tcPr>
          <w:p>
            <w:pPr>
              <w:spacing w:before="0" w:after="0"/>
            </w:pPr>
            <w:r>
              <w:rPr>
                <w:b w:val="0"/>
                <w:sz w:val="14"/>
              </w:rPr>
              <w:t>ChaosNLI</w:t>
            </w:r>
          </w:p>
        </w:tc>
        <w:tc>
          <w:tcPr>
            <w:tcW w:type="dxa" w:w="1656"/>
            <w:vAlign w:val="top"/>
            <w:tcMar>
              <w:top w:w="35" w:type="dxa"/>
              <w:left w:w="35" w:type="dxa"/>
              <w:bottom w:w="35" w:type="dxa"/>
              <w:right w:w="35" w:type="dxa"/>
            </w:tcMar>
          </w:tcPr>
          <w:p>
            <w:pPr>
              <w:spacing w:before="0" w:after="0"/>
            </w:pPr>
            <w:r>
              <w:rPr>
                <w:b w:val="0"/>
                <w:sz w:val="14"/>
              </w:rPr>
              <w:t>reference distribution</w:t>
            </w:r>
          </w:p>
        </w:tc>
        <w:tc>
          <w:tcPr>
            <w:tcW w:type="dxa" w:w="1656"/>
            <w:vAlign w:val="top"/>
            <w:tcMar>
              <w:top w:w="35" w:type="dxa"/>
              <w:left w:w="35" w:type="dxa"/>
              <w:bottom w:w="35" w:type="dxa"/>
              <w:right w:w="35" w:type="dxa"/>
            </w:tcMar>
          </w:tcPr>
          <w:p>
            <w:pPr>
              <w:spacing w:before="0" w:after="0"/>
            </w:pPr>
            <w:r>
              <w:rPr>
                <w:b w:val="0"/>
                <w:sz w:val="14"/>
              </w:rPr>
              <w:t>0.75</w:t>
            </w:r>
          </w:p>
        </w:tc>
        <w:tc>
          <w:tcPr>
            <w:tcW w:type="dxa" w:w="1656"/>
            <w:vAlign w:val="top"/>
            <w:tcMar>
              <w:top w:w="35" w:type="dxa"/>
              <w:left w:w="35" w:type="dxa"/>
              <w:bottom w:w="35" w:type="dxa"/>
              <w:right w:w="35" w:type="dxa"/>
            </w:tcMar>
          </w:tcPr>
          <w:p>
            <w:pPr>
              <w:spacing w:before="0" w:after="0"/>
            </w:pPr>
            <w:r>
              <w:rPr>
                <w:b w:val="0"/>
                <w:sz w:val="14"/>
              </w:rPr>
              <w:t>14 (0.52)</w:t>
            </w:r>
          </w:p>
        </w:tc>
        <w:tc>
          <w:tcPr>
            <w:tcW w:type="dxa" w:w="1656"/>
            <w:vAlign w:val="top"/>
            <w:tcMar>
              <w:top w:w="35" w:type="dxa"/>
              <w:left w:w="35" w:type="dxa"/>
              <w:bottom w:w="35" w:type="dxa"/>
              <w:right w:w="35" w:type="dxa"/>
            </w:tcMar>
          </w:tcPr>
          <w:p>
            <w:pPr>
              <w:spacing w:before="0" w:after="0"/>
            </w:pPr>
            <w:r>
              <w:rPr>
                <w:b w:val="0"/>
                <w:sz w:val="14"/>
              </w:rPr>
              <w:t>10 (0.37)</w:t>
            </w:r>
          </w:p>
        </w:tc>
        <w:tc>
          <w:tcPr>
            <w:tcW w:type="dxa" w:w="1656"/>
            <w:vAlign w:val="top"/>
            <w:tcMar>
              <w:top w:w="35" w:type="dxa"/>
              <w:left w:w="35" w:type="dxa"/>
              <w:bottom w:w="35" w:type="dxa"/>
              <w:right w:w="35" w:type="dxa"/>
            </w:tcMar>
          </w:tcPr>
          <w:p>
            <w:pPr>
              <w:spacing w:before="0" w:after="0"/>
            </w:pPr>
            <w:r>
              <w:rPr>
                <w:b w:val="0"/>
                <w:sz w:val="14"/>
              </w:rPr>
              <w:t>14 (0.52)</w:t>
            </w:r>
          </w:p>
        </w:tc>
      </w:tr>
      <w:tr>
        <w:tc>
          <w:tcPr>
            <w:tcW w:type="dxa" w:w="1656"/>
            <w:vAlign w:val="top"/>
            <w:tcMar>
              <w:top w:w="35" w:type="dxa"/>
              <w:left w:w="35" w:type="dxa"/>
              <w:bottom w:w="35" w:type="dxa"/>
              <w:right w:w="35" w:type="dxa"/>
            </w:tcMar>
          </w:tcPr>
          <w:p>
            <w:pPr>
              <w:spacing w:before="0" w:after="0"/>
            </w:pPr>
            <w:r>
              <w:rPr>
                <w:b w:val="0"/>
                <w:sz w:val="14"/>
              </w:rPr>
              <w:t>ChaosNLI</w:t>
            </w:r>
          </w:p>
        </w:tc>
        <w:tc>
          <w:tcPr>
            <w:tcW w:type="dxa" w:w="1656"/>
            <w:vAlign w:val="top"/>
            <w:tcMar>
              <w:top w:w="35" w:type="dxa"/>
              <w:left w:w="35" w:type="dxa"/>
              <w:bottom w:w="35" w:type="dxa"/>
              <w:right w:w="35" w:type="dxa"/>
            </w:tcMar>
          </w:tcPr>
          <w:p>
            <w:pPr>
              <w:spacing w:before="0" w:after="0"/>
            </w:pPr>
            <w:r>
              <w:rPr>
                <w:b w:val="0"/>
                <w:sz w:val="14"/>
              </w:rPr>
              <w:t>reference distribution</w:t>
            </w:r>
          </w:p>
        </w:tc>
        <w:tc>
          <w:tcPr>
            <w:tcW w:type="dxa" w:w="1656"/>
            <w:vAlign w:val="top"/>
            <w:tcMar>
              <w:top w:w="35" w:type="dxa"/>
              <w:left w:w="35" w:type="dxa"/>
              <w:bottom w:w="35" w:type="dxa"/>
              <w:right w:w="35" w:type="dxa"/>
            </w:tcMar>
          </w:tcPr>
          <w:p>
            <w:pPr>
              <w:spacing w:before="0" w:after="0"/>
            </w:pPr>
            <w:r>
              <w:rPr>
                <w:b w:val="0"/>
                <w:sz w:val="14"/>
              </w:rPr>
              <w:t>0.90</w:t>
            </w:r>
          </w:p>
        </w:tc>
        <w:tc>
          <w:tcPr>
            <w:tcW w:type="dxa" w:w="1656"/>
            <w:vAlign w:val="top"/>
            <w:tcMar>
              <w:top w:w="35" w:type="dxa"/>
              <w:left w:w="35" w:type="dxa"/>
              <w:bottom w:w="35" w:type="dxa"/>
              <w:right w:w="35" w:type="dxa"/>
            </w:tcMar>
          </w:tcPr>
          <w:p>
            <w:pPr>
              <w:spacing w:before="0" w:after="0"/>
            </w:pPr>
            <w:r>
              <w:rPr>
                <w:b w:val="0"/>
                <w:sz w:val="14"/>
              </w:rPr>
              <w:t>25 (0.93)</w:t>
            </w:r>
          </w:p>
        </w:tc>
        <w:tc>
          <w:tcPr>
            <w:tcW w:type="dxa" w:w="1656"/>
            <w:vAlign w:val="top"/>
            <w:tcMar>
              <w:top w:w="35" w:type="dxa"/>
              <w:left w:w="35" w:type="dxa"/>
              <w:bottom w:w="35" w:type="dxa"/>
              <w:right w:w="35" w:type="dxa"/>
            </w:tcMar>
          </w:tcPr>
          <w:p>
            <w:pPr>
              <w:spacing w:before="0" w:after="0"/>
            </w:pPr>
            <w:r>
              <w:rPr>
                <w:b w:val="0"/>
                <w:sz w:val="14"/>
              </w:rPr>
              <w:t>18 (0.67)</w:t>
            </w:r>
          </w:p>
        </w:tc>
        <w:tc>
          <w:tcPr>
            <w:tcW w:type="dxa" w:w="1656"/>
            <w:vAlign w:val="top"/>
            <w:tcMar>
              <w:top w:w="35" w:type="dxa"/>
              <w:left w:w="35" w:type="dxa"/>
              <w:bottom w:w="35" w:type="dxa"/>
              <w:right w:w="35" w:type="dxa"/>
            </w:tcMar>
          </w:tcPr>
          <w:p>
            <w:pPr>
              <w:spacing w:before="0" w:after="0"/>
            </w:pPr>
            <w:r>
              <w:rPr>
                <w:b w:val="0"/>
                <w:sz w:val="14"/>
              </w:rPr>
              <w:t>25 (0.93)</w:t>
            </w:r>
          </w:p>
        </w:tc>
      </w:tr>
    </w:tbl>
    <w:p>
      <w:pPr>
        <w:spacing w:before="120" w:after="60"/>
        <w:jc w:val="center"/>
      </w:pPr>
      <w:r>
        <w:rPr>
          <w:rFonts w:ascii="Times New Roman" w:hAnsi="Times New Roman"/>
        </w:rPr>
        <w:drawing>
          <wp:inline xmlns:a="http://schemas.openxmlformats.org/drawingml/2006/main" xmlns:pic="http://schemas.openxmlformats.org/drawingml/2006/picture">
            <wp:extent cx="5669280" cy="2984108"/>
            <wp:docPr id="4" name="Picture 4"/>
            <wp:cNvGraphicFramePr>
              <a:graphicFrameLocks noChangeAspect="1"/>
            </wp:cNvGraphicFramePr>
            <a:graphic>
              <a:graphicData uri="http://schemas.openxmlformats.org/drawingml/2006/picture">
                <pic:pic>
                  <pic:nvPicPr>
                    <pic:cNvPr id="0" name="fig4_bingol_retrograde_ratios.png"/>
                    <pic:cNvPicPr/>
                  </pic:nvPicPr>
                  <pic:blipFill>
                    <a:blip r:embed="rId32"/>
                    <a:stretch>
                      <a:fillRect/>
                    </a:stretch>
                  </pic:blipFill>
                  <pic:spPr>
                    <a:xfrm>
                      <a:off x="0" y="0"/>
                      <a:ext cx="5669280" cy="2984108"/>
                    </a:xfrm>
                    <a:prstGeom prst="rect"/>
                  </pic:spPr>
                </pic:pic>
              </a:graphicData>
            </a:graphic>
          </wp:inline>
        </w:drawing>
      </w:r>
    </w:p>
    <w:p>
      <w:pPr>
        <w:pStyle w:val="FigCaption"/>
      </w:pPr>
      <w:r>
        <w:rPr>
          <w:rFonts w:ascii="Times New Roman" w:hAnsi="Times New Roman"/>
        </w:rPr>
      </w:r>
      <w:r>
        <w:t>Bingöl/USL analytical retrograde benchmark. Across reported USL conditions, N*/N_peak remains below one over the evaluated λ values.</w:t>
      </w:r>
    </w:p>
    <w:p>
      <w:pPr>
        <w:pStyle w:val="TableCaption"/>
      </w:pPr>
      <w:r>
        <w:rPr>
          <w:rFonts w:ascii="Times New Roman" w:hAnsi="Times New Roman"/>
        </w:rPr>
      </w:r>
      <w:r>
        <w:rPr>
          <w:b/>
        </w:rPr>
        <w:t>TABLE IV. Bingöl/USL analytical retrograde benchmark. Entries are N* with N*/N_peak in parentheses.</w:t>
      </w:r>
    </w:p>
    <w:tbl>
      <w:tblPr>
        <w:tblW w:type="auto" w:w="0"/>
        <w:jc w:val="center"/>
        <w:tblLayout w:type="autofit"/>
        <w:tblLook w:firstColumn="1" w:firstRow="1" w:lastColumn="0" w:lastRow="0" w:noHBand="0" w:noVBand="1" w:val="04A0"/>
      </w:tblPr>
      <w:tblGrid>
        <w:gridCol w:w="1656"/>
        <w:gridCol w:w="1656"/>
        <w:gridCol w:w="1656"/>
        <w:gridCol w:w="1656"/>
        <w:gridCol w:w="1656"/>
        <w:gridCol w:w="1656"/>
      </w:tblGrid>
      <w:tr>
        <w:tc>
          <w:tcPr>
            <w:tcW w:type="dxa" w:w="1656"/>
            <w:vAlign w:val="top"/>
            <w:tcMar>
              <w:top w:w="35" w:type="dxa"/>
              <w:left w:w="35" w:type="dxa"/>
              <w:bottom w:w="35" w:type="dxa"/>
              <w:right w:w="35" w:type="dxa"/>
            </w:tcMar>
          </w:tcPr>
          <w:p>
            <w:pPr>
              <w:spacing w:before="0" w:after="0"/>
            </w:pPr>
            <w:r>
              <w:rPr>
                <w:b/>
                <w:sz w:val="14"/>
              </w:rPr>
              <w:t>USL condition</w:t>
            </w:r>
          </w:p>
        </w:tc>
        <w:tc>
          <w:tcPr>
            <w:tcW w:type="dxa" w:w="1656"/>
            <w:vAlign w:val="top"/>
            <w:tcMar>
              <w:top w:w="35" w:type="dxa"/>
              <w:left w:w="35" w:type="dxa"/>
              <w:bottom w:w="35" w:type="dxa"/>
              <w:right w:w="35" w:type="dxa"/>
            </w:tcMar>
          </w:tcPr>
          <w:p>
            <w:pPr>
              <w:spacing w:before="0" w:after="0"/>
            </w:pPr>
            <w:r>
              <w:rPr>
                <w:b/>
                <w:sz w:val="14"/>
              </w:rPr>
            </w:r>
            <w:r>
              <w:rPr>
                <w:sz w:val="14"/>
              </w:rPr>
              <w:t>N_peak</w:t>
            </w:r>
          </w:p>
        </w:tc>
        <w:tc>
          <w:tcPr>
            <w:tcW w:type="dxa" w:w="1656"/>
            <w:vAlign w:val="top"/>
            <w:tcMar>
              <w:top w:w="35" w:type="dxa"/>
              <w:left w:w="35" w:type="dxa"/>
              <w:bottom w:w="35" w:type="dxa"/>
              <w:right w:w="35" w:type="dxa"/>
            </w:tcMar>
          </w:tcPr>
          <w:p>
            <w:pPr>
              <w:spacing w:before="0" w:after="0"/>
            </w:pPr>
            <w:r>
              <w:rPr>
                <w:b/>
                <w:sz w:val="14"/>
              </w:rPr>
            </w:r>
            <w:r>
              <w:rPr>
                <w:sz w:val="14"/>
              </w:rPr>
              <w:t>λ=.3</w:t>
            </w:r>
          </w:p>
        </w:tc>
        <w:tc>
          <w:tcPr>
            <w:tcW w:type="dxa" w:w="1656"/>
            <w:vAlign w:val="top"/>
            <w:tcMar>
              <w:top w:w="35" w:type="dxa"/>
              <w:left w:w="35" w:type="dxa"/>
              <w:bottom w:w="35" w:type="dxa"/>
              <w:right w:w="35" w:type="dxa"/>
            </w:tcMar>
          </w:tcPr>
          <w:p>
            <w:pPr>
              <w:spacing w:before="0" w:after="0"/>
            </w:pPr>
            <w:r>
              <w:rPr>
                <w:b/>
                <w:sz w:val="14"/>
              </w:rPr>
            </w:r>
            <w:r>
              <w:rPr>
                <w:sz w:val="14"/>
              </w:rPr>
              <w:t>λ=.5</w:t>
            </w:r>
          </w:p>
        </w:tc>
        <w:tc>
          <w:tcPr>
            <w:tcW w:type="dxa" w:w="1656"/>
            <w:vAlign w:val="top"/>
            <w:tcMar>
              <w:top w:w="35" w:type="dxa"/>
              <w:left w:w="35" w:type="dxa"/>
              <w:bottom w:w="35" w:type="dxa"/>
              <w:right w:w="35" w:type="dxa"/>
            </w:tcMar>
          </w:tcPr>
          <w:p>
            <w:pPr>
              <w:spacing w:before="0" w:after="0"/>
            </w:pPr>
            <w:r>
              <w:rPr>
                <w:b/>
                <w:sz w:val="14"/>
              </w:rPr>
            </w:r>
            <w:r>
              <w:rPr>
                <w:sz w:val="14"/>
              </w:rPr>
              <w:t>λ=.7</w:t>
            </w:r>
          </w:p>
        </w:tc>
        <w:tc>
          <w:tcPr>
            <w:tcW w:type="dxa" w:w="1656"/>
            <w:vAlign w:val="top"/>
            <w:tcMar>
              <w:top w:w="35" w:type="dxa"/>
              <w:left w:w="35" w:type="dxa"/>
              <w:bottom w:w="35" w:type="dxa"/>
              <w:right w:w="35" w:type="dxa"/>
            </w:tcMar>
          </w:tcPr>
          <w:p>
            <w:pPr>
              <w:spacing w:before="0" w:after="0"/>
            </w:pPr>
            <w:r>
              <w:rPr>
                <w:b/>
                <w:sz w:val="14"/>
              </w:rPr>
            </w:r>
            <w:r>
              <w:rPr>
                <w:sz w:val="14"/>
              </w:rPr>
              <w:t>λ=.9</w:t>
            </w:r>
          </w:p>
        </w:tc>
      </w:tr>
      <w:tr>
        <w:tc>
          <w:tcPr>
            <w:tcW w:type="dxa" w:w="1656"/>
            <w:vAlign w:val="top"/>
            <w:tcMar>
              <w:top w:w="35" w:type="dxa"/>
              <w:left w:w="35" w:type="dxa"/>
              <w:bottom w:w="35" w:type="dxa"/>
              <w:right w:w="35" w:type="dxa"/>
            </w:tcMar>
          </w:tcPr>
          <w:p>
            <w:pPr>
              <w:spacing w:before="0" w:after="0"/>
            </w:pPr>
            <w:r>
              <w:rPr>
                <w:b w:val="0"/>
                <w:sz w:val="14"/>
              </w:rPr>
              <w:t>0.51</w:t>
            </w:r>
          </w:p>
        </w:tc>
        <w:tc>
          <w:tcPr>
            <w:tcW w:type="dxa" w:w="1656"/>
            <w:vAlign w:val="top"/>
            <w:tcMar>
              <w:top w:w="35" w:type="dxa"/>
              <w:left w:w="35" w:type="dxa"/>
              <w:bottom w:w="35" w:type="dxa"/>
              <w:right w:w="35" w:type="dxa"/>
            </w:tcMar>
          </w:tcPr>
          <w:p>
            <w:pPr>
              <w:spacing w:before="0" w:after="0"/>
            </w:pPr>
            <w:r>
              <w:rPr>
                <w:b w:val="0"/>
                <w:sz w:val="14"/>
              </w:rPr>
              <w:t>13.00</w:t>
            </w:r>
          </w:p>
        </w:tc>
        <w:tc>
          <w:tcPr>
            <w:tcW w:type="dxa" w:w="1656"/>
            <w:vAlign w:val="top"/>
            <w:tcMar>
              <w:top w:w="35" w:type="dxa"/>
              <w:left w:w="35" w:type="dxa"/>
              <w:bottom w:w="35" w:type="dxa"/>
              <w:right w:w="35" w:type="dxa"/>
            </w:tcMar>
          </w:tcPr>
          <w:p>
            <w:pPr>
              <w:spacing w:before="0" w:after="0"/>
            </w:pPr>
            <w:r>
              <w:rPr>
                <w:b w:val="0"/>
                <w:sz w:val="14"/>
              </w:rPr>
              <w:t>5 (0.38)</w:t>
            </w:r>
          </w:p>
        </w:tc>
        <w:tc>
          <w:tcPr>
            <w:tcW w:type="dxa" w:w="1656"/>
            <w:vAlign w:val="top"/>
            <w:tcMar>
              <w:top w:w="35" w:type="dxa"/>
              <w:left w:w="35" w:type="dxa"/>
              <w:bottom w:w="35" w:type="dxa"/>
              <w:right w:w="35" w:type="dxa"/>
            </w:tcMar>
          </w:tcPr>
          <w:p>
            <w:pPr>
              <w:spacing w:before="0" w:after="0"/>
            </w:pPr>
            <w:r>
              <w:rPr>
                <w:b w:val="0"/>
                <w:sz w:val="14"/>
              </w:rPr>
              <w:t>7 (0.54)</w:t>
            </w:r>
          </w:p>
        </w:tc>
        <w:tc>
          <w:tcPr>
            <w:tcW w:type="dxa" w:w="1656"/>
            <w:vAlign w:val="top"/>
            <w:tcMar>
              <w:top w:w="35" w:type="dxa"/>
              <w:left w:w="35" w:type="dxa"/>
              <w:bottom w:w="35" w:type="dxa"/>
              <w:right w:w="35" w:type="dxa"/>
            </w:tcMar>
          </w:tcPr>
          <w:p>
            <w:pPr>
              <w:spacing w:before="0" w:after="0"/>
            </w:pPr>
            <w:r>
              <w:rPr>
                <w:b w:val="0"/>
                <w:sz w:val="14"/>
              </w:rPr>
              <w:t>9 (0.69)</w:t>
            </w:r>
          </w:p>
        </w:tc>
        <w:tc>
          <w:tcPr>
            <w:tcW w:type="dxa" w:w="1656"/>
            <w:vAlign w:val="top"/>
            <w:tcMar>
              <w:top w:w="35" w:type="dxa"/>
              <w:left w:w="35" w:type="dxa"/>
              <w:bottom w:w="35" w:type="dxa"/>
              <w:right w:w="35" w:type="dxa"/>
            </w:tcMar>
          </w:tcPr>
          <w:p>
            <w:pPr>
              <w:spacing w:before="0" w:after="0"/>
            </w:pPr>
            <w:r>
              <w:rPr>
                <w:b w:val="0"/>
                <w:sz w:val="14"/>
              </w:rPr>
              <w:t>12 (0.92)</w:t>
            </w:r>
          </w:p>
        </w:tc>
      </w:tr>
      <w:tr>
        <w:tc>
          <w:tcPr>
            <w:tcW w:type="dxa" w:w="1656"/>
            <w:vAlign w:val="top"/>
            <w:tcMar>
              <w:top w:w="35" w:type="dxa"/>
              <w:left w:w="35" w:type="dxa"/>
              <w:bottom w:w="35" w:type="dxa"/>
              <w:right w:w="35" w:type="dxa"/>
            </w:tcMar>
          </w:tcPr>
          <w:p>
            <w:pPr>
              <w:spacing w:before="0" w:after="0"/>
            </w:pPr>
            <w:r>
              <w:rPr>
                <w:b w:val="0"/>
                <w:sz w:val="14"/>
              </w:rPr>
              <w:t>0.52</w:t>
            </w:r>
          </w:p>
        </w:tc>
        <w:tc>
          <w:tcPr>
            <w:tcW w:type="dxa" w:w="1656"/>
            <w:vAlign w:val="top"/>
            <w:tcMar>
              <w:top w:w="35" w:type="dxa"/>
              <w:left w:w="35" w:type="dxa"/>
              <w:bottom w:w="35" w:type="dxa"/>
              <w:right w:w="35" w:type="dxa"/>
            </w:tcMar>
          </w:tcPr>
          <w:p>
            <w:pPr>
              <w:spacing w:before="0" w:after="0"/>
            </w:pPr>
            <w:r>
              <w:rPr>
                <w:b w:val="0"/>
                <w:sz w:val="14"/>
              </w:rPr>
              <w:t>13.14</w:t>
            </w:r>
          </w:p>
        </w:tc>
        <w:tc>
          <w:tcPr>
            <w:tcW w:type="dxa" w:w="1656"/>
            <w:vAlign w:val="top"/>
            <w:tcMar>
              <w:top w:w="35" w:type="dxa"/>
              <w:left w:w="35" w:type="dxa"/>
              <w:bottom w:w="35" w:type="dxa"/>
              <w:right w:w="35" w:type="dxa"/>
            </w:tcMar>
          </w:tcPr>
          <w:p>
            <w:pPr>
              <w:spacing w:before="0" w:after="0"/>
            </w:pPr>
            <w:r>
              <w:rPr>
                <w:b w:val="0"/>
                <w:sz w:val="14"/>
              </w:rPr>
              <w:t>8 (0.61)</w:t>
            </w:r>
          </w:p>
        </w:tc>
        <w:tc>
          <w:tcPr>
            <w:tcW w:type="dxa" w:w="1656"/>
            <w:vAlign w:val="top"/>
            <w:tcMar>
              <w:top w:w="35" w:type="dxa"/>
              <w:left w:w="35" w:type="dxa"/>
              <w:bottom w:w="35" w:type="dxa"/>
              <w:right w:w="35" w:type="dxa"/>
            </w:tcMar>
          </w:tcPr>
          <w:p>
            <w:pPr>
              <w:spacing w:before="0" w:after="0"/>
            </w:pPr>
            <w:r>
              <w:rPr>
                <w:b w:val="0"/>
                <w:sz w:val="14"/>
              </w:rPr>
              <w:t>10 (0.76)</w:t>
            </w:r>
          </w:p>
        </w:tc>
        <w:tc>
          <w:tcPr>
            <w:tcW w:type="dxa" w:w="1656"/>
            <w:vAlign w:val="top"/>
            <w:tcMar>
              <w:top w:w="35" w:type="dxa"/>
              <w:left w:w="35" w:type="dxa"/>
              <w:bottom w:w="35" w:type="dxa"/>
              <w:right w:w="35" w:type="dxa"/>
            </w:tcMar>
          </w:tcPr>
          <w:p>
            <w:pPr>
              <w:spacing w:before="0" w:after="0"/>
            </w:pPr>
            <w:r>
              <w:rPr>
                <w:b w:val="0"/>
                <w:sz w:val="14"/>
              </w:rPr>
              <w:t>11 (0.84)</w:t>
            </w:r>
          </w:p>
        </w:tc>
        <w:tc>
          <w:tcPr>
            <w:tcW w:type="dxa" w:w="1656"/>
            <w:vAlign w:val="top"/>
            <w:tcMar>
              <w:top w:w="35" w:type="dxa"/>
              <w:left w:w="35" w:type="dxa"/>
              <w:bottom w:w="35" w:type="dxa"/>
              <w:right w:w="35" w:type="dxa"/>
            </w:tcMar>
          </w:tcPr>
          <w:p>
            <w:pPr>
              <w:spacing w:before="0" w:after="0"/>
            </w:pPr>
            <w:r>
              <w:rPr>
                <w:b w:val="0"/>
                <w:sz w:val="14"/>
              </w:rPr>
              <w:t>13 (0.99)</w:t>
            </w:r>
          </w:p>
        </w:tc>
      </w:tr>
      <w:tr>
        <w:tc>
          <w:tcPr>
            <w:tcW w:type="dxa" w:w="1656"/>
            <w:vAlign w:val="top"/>
            <w:tcMar>
              <w:top w:w="35" w:type="dxa"/>
              <w:left w:w="35" w:type="dxa"/>
              <w:bottom w:w="35" w:type="dxa"/>
              <w:right w:w="35" w:type="dxa"/>
            </w:tcMar>
          </w:tcPr>
          <w:p>
            <w:pPr>
              <w:spacing w:before="0" w:after="0"/>
            </w:pPr>
            <w:r>
              <w:rPr>
                <w:b w:val="0"/>
                <w:sz w:val="14"/>
              </w:rPr>
              <w:t>0.53</w:t>
            </w:r>
          </w:p>
        </w:tc>
        <w:tc>
          <w:tcPr>
            <w:tcW w:type="dxa" w:w="1656"/>
            <w:vAlign w:val="top"/>
            <w:tcMar>
              <w:top w:w="35" w:type="dxa"/>
              <w:left w:w="35" w:type="dxa"/>
              <w:bottom w:w="35" w:type="dxa"/>
              <w:right w:w="35" w:type="dxa"/>
            </w:tcMar>
          </w:tcPr>
          <w:p>
            <w:pPr>
              <w:spacing w:before="0" w:after="0"/>
            </w:pPr>
            <w:r>
              <w:rPr>
                <w:b w:val="0"/>
                <w:sz w:val="14"/>
              </w:rPr>
              <w:t>14.25</w:t>
            </w:r>
          </w:p>
        </w:tc>
        <w:tc>
          <w:tcPr>
            <w:tcW w:type="dxa" w:w="1656"/>
            <w:vAlign w:val="top"/>
            <w:tcMar>
              <w:top w:w="35" w:type="dxa"/>
              <w:left w:w="35" w:type="dxa"/>
              <w:bottom w:w="35" w:type="dxa"/>
              <w:right w:w="35" w:type="dxa"/>
            </w:tcMar>
          </w:tcPr>
          <w:p>
            <w:pPr>
              <w:spacing w:before="0" w:after="0"/>
            </w:pPr>
            <w:r>
              <w:rPr>
                <w:b w:val="0"/>
                <w:sz w:val="14"/>
              </w:rPr>
              <w:t>8 (0.56)</w:t>
            </w:r>
          </w:p>
        </w:tc>
        <w:tc>
          <w:tcPr>
            <w:tcW w:type="dxa" w:w="1656"/>
            <w:vAlign w:val="top"/>
            <w:tcMar>
              <w:top w:w="35" w:type="dxa"/>
              <w:left w:w="35" w:type="dxa"/>
              <w:bottom w:w="35" w:type="dxa"/>
              <w:right w:w="35" w:type="dxa"/>
            </w:tcMar>
          </w:tcPr>
          <w:p>
            <w:pPr>
              <w:spacing w:before="0" w:after="0"/>
            </w:pPr>
            <w:r>
              <w:rPr>
                <w:b w:val="0"/>
                <w:sz w:val="14"/>
              </w:rPr>
              <w:t>10 (0.70)</w:t>
            </w:r>
          </w:p>
        </w:tc>
        <w:tc>
          <w:tcPr>
            <w:tcW w:type="dxa" w:w="1656"/>
            <w:vAlign w:val="top"/>
            <w:tcMar>
              <w:top w:w="35" w:type="dxa"/>
              <w:left w:w="35" w:type="dxa"/>
              <w:bottom w:w="35" w:type="dxa"/>
              <w:right w:w="35" w:type="dxa"/>
            </w:tcMar>
          </w:tcPr>
          <w:p>
            <w:pPr>
              <w:spacing w:before="0" w:after="0"/>
            </w:pPr>
            <w:r>
              <w:rPr>
                <w:b w:val="0"/>
                <w:sz w:val="14"/>
              </w:rPr>
              <w:t>12 (0.84)</w:t>
            </w:r>
          </w:p>
        </w:tc>
        <w:tc>
          <w:tcPr>
            <w:tcW w:type="dxa" w:w="1656"/>
            <w:vAlign w:val="top"/>
            <w:tcMar>
              <w:top w:w="35" w:type="dxa"/>
              <w:left w:w="35" w:type="dxa"/>
              <w:bottom w:w="35" w:type="dxa"/>
              <w:right w:w="35" w:type="dxa"/>
            </w:tcMar>
          </w:tcPr>
          <w:p>
            <w:pPr>
              <w:spacing w:before="0" w:after="0"/>
            </w:pPr>
            <w:r>
              <w:rPr>
                <w:b w:val="0"/>
                <w:sz w:val="14"/>
              </w:rPr>
              <w:t>13 (0.91)</w:t>
            </w:r>
          </w:p>
        </w:tc>
      </w:tr>
      <w:tr>
        <w:tc>
          <w:tcPr>
            <w:tcW w:type="dxa" w:w="1656"/>
            <w:vAlign w:val="top"/>
            <w:tcMar>
              <w:top w:w="35" w:type="dxa"/>
              <w:left w:w="35" w:type="dxa"/>
              <w:bottom w:w="35" w:type="dxa"/>
              <w:right w:w="35" w:type="dxa"/>
            </w:tcMar>
          </w:tcPr>
          <w:p>
            <w:pPr>
              <w:spacing w:before="0" w:after="0"/>
            </w:pPr>
            <w:r>
              <w:rPr>
                <w:b w:val="0"/>
                <w:sz w:val="14"/>
              </w:rPr>
              <w:t>0.54</w:t>
            </w:r>
          </w:p>
        </w:tc>
        <w:tc>
          <w:tcPr>
            <w:tcW w:type="dxa" w:w="1656"/>
            <w:vAlign w:val="top"/>
            <w:tcMar>
              <w:top w:w="35" w:type="dxa"/>
              <w:left w:w="35" w:type="dxa"/>
              <w:bottom w:w="35" w:type="dxa"/>
              <w:right w:w="35" w:type="dxa"/>
            </w:tcMar>
          </w:tcPr>
          <w:p>
            <w:pPr>
              <w:spacing w:before="0" w:after="0"/>
            </w:pPr>
            <w:r>
              <w:rPr>
                <w:b w:val="0"/>
                <w:sz w:val="14"/>
              </w:rPr>
              <w:t>17.06</w:t>
            </w:r>
          </w:p>
        </w:tc>
        <w:tc>
          <w:tcPr>
            <w:tcW w:type="dxa" w:w="1656"/>
            <w:vAlign w:val="top"/>
            <w:tcMar>
              <w:top w:w="35" w:type="dxa"/>
              <w:left w:w="35" w:type="dxa"/>
              <w:bottom w:w="35" w:type="dxa"/>
              <w:right w:w="35" w:type="dxa"/>
            </w:tcMar>
          </w:tcPr>
          <w:p>
            <w:pPr>
              <w:spacing w:before="0" w:after="0"/>
            </w:pPr>
            <w:r>
              <w:rPr>
                <w:b w:val="0"/>
                <w:sz w:val="14"/>
              </w:rPr>
              <w:t>8 (0.47)</w:t>
            </w:r>
          </w:p>
        </w:tc>
        <w:tc>
          <w:tcPr>
            <w:tcW w:type="dxa" w:w="1656"/>
            <w:vAlign w:val="top"/>
            <w:tcMar>
              <w:top w:w="35" w:type="dxa"/>
              <w:left w:w="35" w:type="dxa"/>
              <w:bottom w:w="35" w:type="dxa"/>
              <w:right w:w="35" w:type="dxa"/>
            </w:tcMar>
          </w:tcPr>
          <w:p>
            <w:pPr>
              <w:spacing w:before="0" w:after="0"/>
            </w:pPr>
            <w:r>
              <w:rPr>
                <w:b w:val="0"/>
                <w:sz w:val="14"/>
              </w:rPr>
              <w:t>11 (0.64)</w:t>
            </w:r>
          </w:p>
        </w:tc>
        <w:tc>
          <w:tcPr>
            <w:tcW w:type="dxa" w:w="1656"/>
            <w:vAlign w:val="top"/>
            <w:tcMar>
              <w:top w:w="35" w:type="dxa"/>
              <w:left w:w="35" w:type="dxa"/>
              <w:bottom w:w="35" w:type="dxa"/>
              <w:right w:w="35" w:type="dxa"/>
            </w:tcMar>
          </w:tcPr>
          <w:p>
            <w:pPr>
              <w:spacing w:before="0" w:after="0"/>
            </w:pPr>
            <w:r>
              <w:rPr>
                <w:b w:val="0"/>
                <w:sz w:val="14"/>
              </w:rPr>
              <w:t>13 (0.76)</w:t>
            </w:r>
          </w:p>
        </w:tc>
        <w:tc>
          <w:tcPr>
            <w:tcW w:type="dxa" w:w="1656"/>
            <w:vAlign w:val="top"/>
            <w:tcMar>
              <w:top w:w="35" w:type="dxa"/>
              <w:left w:w="35" w:type="dxa"/>
              <w:bottom w:w="35" w:type="dxa"/>
              <w:right w:w="35" w:type="dxa"/>
            </w:tcMar>
          </w:tcPr>
          <w:p>
            <w:pPr>
              <w:spacing w:before="0" w:after="0"/>
            </w:pPr>
            <w:r>
              <w:rPr>
                <w:b w:val="0"/>
                <w:sz w:val="14"/>
              </w:rPr>
              <w:t>16 (0.94)</w:t>
            </w:r>
          </w:p>
        </w:tc>
      </w:tr>
      <w:tr>
        <w:tc>
          <w:tcPr>
            <w:tcW w:type="dxa" w:w="1656"/>
            <w:vAlign w:val="top"/>
            <w:tcMar>
              <w:top w:w="35" w:type="dxa"/>
              <w:left w:w="35" w:type="dxa"/>
              <w:bottom w:w="35" w:type="dxa"/>
              <w:right w:w="35" w:type="dxa"/>
            </w:tcMar>
          </w:tcPr>
          <w:p>
            <w:pPr>
              <w:spacing w:before="0" w:after="0"/>
            </w:pPr>
            <w:r>
              <w:rPr>
                <w:b w:val="0"/>
                <w:sz w:val="14"/>
              </w:rPr>
              <w:t>0.55</w:t>
            </w:r>
          </w:p>
        </w:tc>
        <w:tc>
          <w:tcPr>
            <w:tcW w:type="dxa" w:w="1656"/>
            <w:vAlign w:val="top"/>
            <w:tcMar>
              <w:top w:w="35" w:type="dxa"/>
              <w:left w:w="35" w:type="dxa"/>
              <w:bottom w:w="35" w:type="dxa"/>
              <w:right w:w="35" w:type="dxa"/>
            </w:tcMar>
          </w:tcPr>
          <w:p>
            <w:pPr>
              <w:spacing w:before="0" w:after="0"/>
            </w:pPr>
            <w:r>
              <w:rPr>
                <w:b w:val="0"/>
                <w:sz w:val="14"/>
              </w:rPr>
              <w:t>28.72</w:t>
            </w:r>
          </w:p>
        </w:tc>
        <w:tc>
          <w:tcPr>
            <w:tcW w:type="dxa" w:w="1656"/>
            <w:vAlign w:val="top"/>
            <w:tcMar>
              <w:top w:w="35" w:type="dxa"/>
              <w:left w:w="35" w:type="dxa"/>
              <w:bottom w:w="35" w:type="dxa"/>
              <w:right w:w="35" w:type="dxa"/>
            </w:tcMar>
          </w:tcPr>
          <w:p>
            <w:pPr>
              <w:spacing w:before="0" w:after="0"/>
            </w:pPr>
            <w:r>
              <w:rPr>
                <w:b w:val="0"/>
                <w:sz w:val="14"/>
              </w:rPr>
              <w:t>8 (0.28)</w:t>
            </w:r>
          </w:p>
        </w:tc>
        <w:tc>
          <w:tcPr>
            <w:tcW w:type="dxa" w:w="1656"/>
            <w:vAlign w:val="top"/>
            <w:tcMar>
              <w:top w:w="35" w:type="dxa"/>
              <w:left w:w="35" w:type="dxa"/>
              <w:bottom w:w="35" w:type="dxa"/>
              <w:right w:w="35" w:type="dxa"/>
            </w:tcMar>
          </w:tcPr>
          <w:p>
            <w:pPr>
              <w:spacing w:before="0" w:after="0"/>
            </w:pPr>
            <w:r>
              <w:rPr>
                <w:b w:val="0"/>
                <w:sz w:val="14"/>
              </w:rPr>
              <w:t>11 (0.38)</w:t>
            </w:r>
          </w:p>
        </w:tc>
        <w:tc>
          <w:tcPr>
            <w:tcW w:type="dxa" w:w="1656"/>
            <w:vAlign w:val="top"/>
            <w:tcMar>
              <w:top w:w="35" w:type="dxa"/>
              <w:left w:w="35" w:type="dxa"/>
              <w:bottom w:w="35" w:type="dxa"/>
              <w:right w:w="35" w:type="dxa"/>
            </w:tcMar>
          </w:tcPr>
          <w:p>
            <w:pPr>
              <w:spacing w:before="0" w:after="0"/>
            </w:pPr>
            <w:r>
              <w:rPr>
                <w:b w:val="0"/>
                <w:sz w:val="14"/>
              </w:rPr>
              <w:t>16 (0.56)</w:t>
            </w:r>
          </w:p>
        </w:tc>
        <w:tc>
          <w:tcPr>
            <w:tcW w:type="dxa" w:w="1656"/>
            <w:vAlign w:val="top"/>
            <w:tcMar>
              <w:top w:w="35" w:type="dxa"/>
              <w:left w:w="35" w:type="dxa"/>
              <w:bottom w:w="35" w:type="dxa"/>
              <w:right w:w="35" w:type="dxa"/>
            </w:tcMar>
          </w:tcPr>
          <w:p>
            <w:pPr>
              <w:spacing w:before="0" w:after="0"/>
            </w:pPr>
            <w:r>
              <w:rPr>
                <w:b w:val="0"/>
                <w:sz w:val="14"/>
              </w:rPr>
              <w:t>23 (0.80)</w:t>
            </w:r>
          </w:p>
        </w:tc>
      </w:tr>
    </w:tbl>
    <w:p>
      <w:pPr>
        <w:pStyle w:val="TableCaption"/>
      </w:pPr>
      <w:r>
        <w:rPr>
          <w:rFonts w:ascii="Times New Roman" w:hAnsi="Times New Roman"/>
        </w:rPr>
      </w:r>
      <w:r>
        <w:rPr>
          <w:b/>
        </w:rPr>
        <w:t>TABLE V. Snow bridge analysis from digitized task curves. The table is contextual bridge evidence, not primary validation.</w:t>
      </w:r>
    </w:p>
    <w:tbl>
      <w:tblPr>
        <w:tblW w:type="auto" w:w="0"/>
        <w:jc w:val="center"/>
        <w:tblLayout w:type="autofit"/>
        <w:tblLook w:firstColumn="1" w:firstRow="1" w:lastColumn="0" w:lastRow="0" w:noHBand="0" w:noVBand="1" w:val="04A0"/>
      </w:tblPr>
      <w:tblGrid>
        <w:gridCol w:w="1656"/>
        <w:gridCol w:w="1656"/>
        <w:gridCol w:w="1656"/>
        <w:gridCol w:w="1656"/>
        <w:gridCol w:w="1656"/>
        <w:gridCol w:w="1656"/>
      </w:tblGrid>
      <w:tr>
        <w:tc>
          <w:tcPr>
            <w:tcW w:type="dxa" w:w="1656"/>
            <w:vAlign w:val="top"/>
            <w:tcMar>
              <w:top w:w="35" w:type="dxa"/>
              <w:left w:w="35" w:type="dxa"/>
              <w:bottom w:w="35" w:type="dxa"/>
              <w:right w:w="35" w:type="dxa"/>
            </w:tcMar>
          </w:tcPr>
          <w:p>
            <w:pPr>
              <w:spacing w:before="0" w:after="0"/>
            </w:pPr>
            <w:r>
              <w:rPr>
                <w:b/>
                <w:sz w:val="14"/>
              </w:rPr>
              <w:t>Task</w:t>
            </w:r>
          </w:p>
        </w:tc>
        <w:tc>
          <w:tcPr>
            <w:tcW w:type="dxa" w:w="1656"/>
            <w:vAlign w:val="top"/>
            <w:tcMar>
              <w:top w:w="35" w:type="dxa"/>
              <w:left w:w="35" w:type="dxa"/>
              <w:bottom w:w="35" w:type="dxa"/>
              <w:right w:w="35" w:type="dxa"/>
            </w:tcMar>
          </w:tcPr>
          <w:p>
            <w:pPr>
              <w:spacing w:before="0" w:after="0"/>
            </w:pPr>
            <w:r>
              <w:rPr>
                <w:b/>
                <w:sz w:val="14"/>
              </w:rPr>
              <w:t>Ceiling flag</w:t>
            </w:r>
          </w:p>
        </w:tc>
        <w:tc>
          <w:tcPr>
            <w:tcW w:type="dxa" w:w="1656"/>
            <w:vAlign w:val="top"/>
            <w:tcMar>
              <w:top w:w="35" w:type="dxa"/>
              <w:left w:w="35" w:type="dxa"/>
              <w:bottom w:w="35" w:type="dxa"/>
              <w:right w:w="35" w:type="dxa"/>
            </w:tcMar>
          </w:tcPr>
          <w:p>
            <w:pPr>
              <w:spacing w:before="0" w:after="0"/>
            </w:pPr>
            <w:r>
              <w:rPr>
                <w:b/>
                <w:sz w:val="14"/>
              </w:rPr>
              <w:t>N_eps obs.</w:t>
            </w:r>
          </w:p>
        </w:tc>
        <w:tc>
          <w:tcPr>
            <w:tcW w:type="dxa" w:w="1656"/>
            <w:vAlign w:val="top"/>
            <w:tcMar>
              <w:top w:w="35" w:type="dxa"/>
              <w:left w:w="35" w:type="dxa"/>
              <w:bottom w:w="35" w:type="dxa"/>
              <w:right w:w="35" w:type="dxa"/>
            </w:tcMar>
          </w:tcPr>
          <w:p>
            <w:pPr>
              <w:spacing w:before="0" w:after="0"/>
            </w:pPr>
            <w:r>
              <w:rPr>
                <w:b/>
                <w:sz w:val="14"/>
              </w:rPr>
              <w:t>N_eps ext.</w:t>
            </w:r>
          </w:p>
        </w:tc>
        <w:tc>
          <w:tcPr>
            <w:tcW w:type="dxa" w:w="1656"/>
            <w:vAlign w:val="top"/>
            <w:tcMar>
              <w:top w:w="35" w:type="dxa"/>
              <w:left w:w="35" w:type="dxa"/>
              <w:bottom w:w="35" w:type="dxa"/>
              <w:right w:w="35" w:type="dxa"/>
            </w:tcMar>
          </w:tcPr>
          <w:p>
            <w:pPr>
              <w:spacing w:before="0" w:after="0"/>
            </w:pPr>
            <w:r>
              <w:rPr>
                <w:b/>
                <w:sz w:val="14"/>
              </w:rPr>
            </w:r>
            <w:r>
              <w:rPr>
                <w:sz w:val="14"/>
              </w:rPr>
              <w:t>λ equiv.</w:t>
            </w:r>
          </w:p>
        </w:tc>
        <w:tc>
          <w:tcPr>
            <w:tcW w:type="dxa" w:w="1656"/>
            <w:vAlign w:val="top"/>
            <w:tcMar>
              <w:top w:w="35" w:type="dxa"/>
              <w:left w:w="35" w:type="dxa"/>
              <w:bottom w:w="35" w:type="dxa"/>
              <w:right w:w="35" w:type="dxa"/>
            </w:tcMar>
          </w:tcPr>
          <w:p>
            <w:pPr>
              <w:spacing w:before="0" w:after="0"/>
            </w:pPr>
            <w:r>
              <w:rPr>
                <w:b/>
                <w:sz w:val="14"/>
              </w:rPr>
              <w:t>Verdict</w:t>
            </w:r>
          </w:p>
        </w:tc>
      </w:tr>
      <w:tr>
        <w:tc>
          <w:tcPr>
            <w:tcW w:type="dxa" w:w="1656"/>
            <w:vAlign w:val="top"/>
            <w:tcMar>
              <w:top w:w="35" w:type="dxa"/>
              <w:left w:w="35" w:type="dxa"/>
              <w:bottom w:w="35" w:type="dxa"/>
              <w:right w:w="35" w:type="dxa"/>
            </w:tcMar>
          </w:tcPr>
          <w:p>
            <w:pPr>
              <w:spacing w:before="0" w:after="0"/>
            </w:pPr>
            <w:r>
              <w:rPr>
                <w:b w:val="0"/>
                <w:sz w:val="14"/>
              </w:rPr>
              <w:t>Word Similarity</w:t>
            </w:r>
          </w:p>
        </w:tc>
        <w:tc>
          <w:tcPr>
            <w:tcW w:type="dxa" w:w="1656"/>
            <w:vAlign w:val="top"/>
            <w:tcMar>
              <w:top w:w="35" w:type="dxa"/>
              <w:left w:w="35" w:type="dxa"/>
              <w:bottom w:w="35" w:type="dxa"/>
              <w:right w:w="35" w:type="dxa"/>
            </w:tcMar>
          </w:tcPr>
          <w:p>
            <w:pPr>
              <w:spacing w:before="0" w:after="0"/>
            </w:pPr>
            <w:r>
              <w:rPr>
                <w:b w:val="0"/>
                <w:sz w:val="14"/>
              </w:rPr>
            </w:r>
            <w:r>
              <w:rPr>
                <w:sz w:val="14"/>
              </w:rPr>
              <w:t>extrapolated</w:t>
            </w:r>
          </w:p>
        </w:tc>
        <w:tc>
          <w:tcPr>
            <w:tcW w:type="dxa" w:w="1656"/>
            <w:vAlign w:val="top"/>
            <w:tcMar>
              <w:top w:w="35" w:type="dxa"/>
              <w:left w:w="35" w:type="dxa"/>
              <w:bottom w:w="35" w:type="dxa"/>
              <w:right w:w="35" w:type="dxa"/>
            </w:tcMar>
          </w:tcPr>
          <w:p>
            <w:pPr>
              <w:spacing w:before="0" w:after="0"/>
            </w:pPr>
            <w:r>
              <w:rPr>
                <w:b w:val="0"/>
                <w:sz w:val="14"/>
              </w:rPr>
              <w:t>7</w:t>
            </w:r>
          </w:p>
        </w:tc>
        <w:tc>
          <w:tcPr>
            <w:tcW w:type="dxa" w:w="1656"/>
            <w:vAlign w:val="top"/>
            <w:tcMar>
              <w:top w:w="35" w:type="dxa"/>
              <w:left w:w="35" w:type="dxa"/>
              <w:bottom w:w="35" w:type="dxa"/>
              <w:right w:w="35" w:type="dxa"/>
            </w:tcMar>
          </w:tcPr>
          <w:p>
            <w:pPr>
              <w:spacing w:before="0" w:after="0"/>
            </w:pPr>
            <w:r>
              <w:rPr>
                <w:b w:val="0"/>
                <w:sz w:val="14"/>
              </w:rPr>
              <w:t>11</w:t>
            </w:r>
          </w:p>
        </w:tc>
        <w:tc>
          <w:tcPr>
            <w:tcW w:type="dxa" w:w="1656"/>
            <w:vAlign w:val="top"/>
            <w:tcMar>
              <w:top w:w="35" w:type="dxa"/>
              <w:left w:w="35" w:type="dxa"/>
              <w:bottom w:w="35" w:type="dxa"/>
              <w:right w:w="35" w:type="dxa"/>
            </w:tcMar>
          </w:tcPr>
          <w:p>
            <w:pPr>
              <w:spacing w:before="0" w:after="0"/>
            </w:pPr>
            <w:r>
              <w:rPr>
                <w:b w:val="0"/>
                <w:sz w:val="14"/>
              </w:rPr>
              <w:t>0.831</w:t>
            </w:r>
          </w:p>
        </w:tc>
        <w:tc>
          <w:tcPr>
            <w:tcW w:type="dxa" w:w="1656"/>
            <w:vAlign w:val="top"/>
            <w:tcMar>
              <w:top w:w="35" w:type="dxa"/>
              <w:left w:w="35" w:type="dxa"/>
              <w:bottom w:w="35" w:type="dxa"/>
              <w:right w:w="35" w:type="dxa"/>
            </w:tcMar>
          </w:tcPr>
          <w:p>
            <w:pPr>
              <w:spacing w:before="0" w:after="0"/>
            </w:pPr>
            <w:r>
              <w:rPr>
                <w:b w:val="0"/>
                <w:sz w:val="14"/>
              </w:rPr>
            </w:r>
            <w:r>
              <w:rPr>
                <w:sz w:val="14"/>
              </w:rPr>
              <w:t>valid</w:t>
            </w:r>
          </w:p>
        </w:tc>
      </w:tr>
      <w:tr>
        <w:tc>
          <w:tcPr>
            <w:tcW w:type="dxa" w:w="1656"/>
            <w:vAlign w:val="top"/>
            <w:tcMar>
              <w:top w:w="35" w:type="dxa"/>
              <w:left w:w="35" w:type="dxa"/>
              <w:bottom w:w="35" w:type="dxa"/>
              <w:right w:w="35" w:type="dxa"/>
            </w:tcMar>
          </w:tcPr>
          <w:p>
            <w:pPr>
              <w:spacing w:before="0" w:after="0"/>
            </w:pPr>
            <w:r>
              <w:rPr>
                <w:b w:val="0"/>
                <w:sz w:val="14"/>
              </w:rPr>
              <w:t>RTE</w:t>
            </w:r>
          </w:p>
        </w:tc>
        <w:tc>
          <w:tcPr>
            <w:tcW w:type="dxa" w:w="1656"/>
            <w:vAlign w:val="top"/>
            <w:tcMar>
              <w:top w:w="35" w:type="dxa"/>
              <w:left w:w="35" w:type="dxa"/>
              <w:bottom w:w="35" w:type="dxa"/>
              <w:right w:w="35" w:type="dxa"/>
            </w:tcMar>
          </w:tcPr>
          <w:p>
            <w:pPr>
              <w:spacing w:before="0" w:after="0"/>
            </w:pPr>
            <w:r>
              <w:rPr>
                <w:b w:val="0"/>
                <w:sz w:val="14"/>
              </w:rPr>
            </w:r>
            <w:r>
              <w:rPr>
                <w:sz w:val="14"/>
              </w:rPr>
              <w:t>extrapolated</w:t>
            </w:r>
          </w:p>
        </w:tc>
        <w:tc>
          <w:tcPr>
            <w:tcW w:type="dxa" w:w="1656"/>
            <w:vAlign w:val="top"/>
            <w:tcMar>
              <w:top w:w="35" w:type="dxa"/>
              <w:left w:w="35" w:type="dxa"/>
              <w:bottom w:w="35" w:type="dxa"/>
              <w:right w:w="35" w:type="dxa"/>
            </w:tcMar>
          </w:tcPr>
          <w:p>
            <w:pPr>
              <w:spacing w:before="0" w:after="0"/>
            </w:pPr>
            <w:r>
              <w:rPr>
                <w:b w:val="0"/>
                <w:sz w:val="14"/>
              </w:rPr>
              <w:t>10</w:t>
            </w:r>
          </w:p>
        </w:tc>
        <w:tc>
          <w:tcPr>
            <w:tcW w:type="dxa" w:w="1656"/>
            <w:vAlign w:val="top"/>
            <w:tcMar>
              <w:top w:w="35" w:type="dxa"/>
              <w:left w:w="35" w:type="dxa"/>
              <w:bottom w:w="35" w:type="dxa"/>
              <w:right w:w="35" w:type="dxa"/>
            </w:tcMar>
          </w:tcPr>
          <w:p>
            <w:pPr>
              <w:spacing w:before="0" w:after="0"/>
            </w:pPr>
            <w:r>
              <w:rPr>
                <w:b w:val="0"/>
                <w:sz w:val="14"/>
              </w:rPr>
              <w:t>14</w:t>
            </w:r>
          </w:p>
        </w:tc>
        <w:tc>
          <w:tcPr>
            <w:tcW w:type="dxa" w:w="1656"/>
            <w:vAlign w:val="top"/>
            <w:tcMar>
              <w:top w:w="35" w:type="dxa"/>
              <w:left w:w="35" w:type="dxa"/>
              <w:bottom w:w="35" w:type="dxa"/>
              <w:right w:w="35" w:type="dxa"/>
            </w:tcMar>
          </w:tcPr>
          <w:p>
            <w:pPr>
              <w:spacing w:before="0" w:after="0"/>
            </w:pPr>
            <w:r>
              <w:rPr>
                <w:b w:val="0"/>
                <w:sz w:val="14"/>
              </w:rPr>
              <w:t>0.830</w:t>
            </w:r>
          </w:p>
        </w:tc>
        <w:tc>
          <w:tcPr>
            <w:tcW w:type="dxa" w:w="1656"/>
            <w:vAlign w:val="top"/>
            <w:tcMar>
              <w:top w:w="35" w:type="dxa"/>
              <w:left w:w="35" w:type="dxa"/>
              <w:bottom w:w="35" w:type="dxa"/>
              <w:right w:w="35" w:type="dxa"/>
            </w:tcMar>
          </w:tcPr>
          <w:p>
            <w:pPr>
              <w:spacing w:before="0" w:after="0"/>
            </w:pPr>
            <w:r>
              <w:rPr>
                <w:b w:val="0"/>
                <w:sz w:val="14"/>
              </w:rPr>
            </w:r>
            <w:r>
              <w:rPr>
                <w:sz w:val="14"/>
              </w:rPr>
              <w:t>valid</w:t>
            </w:r>
          </w:p>
        </w:tc>
      </w:tr>
      <w:tr>
        <w:tc>
          <w:tcPr>
            <w:tcW w:type="dxa" w:w="1656"/>
            <w:vAlign w:val="top"/>
            <w:tcMar>
              <w:top w:w="35" w:type="dxa"/>
              <w:left w:w="35" w:type="dxa"/>
              <w:bottom w:w="35" w:type="dxa"/>
              <w:right w:w="35" w:type="dxa"/>
            </w:tcMar>
          </w:tcPr>
          <w:p>
            <w:pPr>
              <w:spacing w:before="0" w:after="0"/>
            </w:pPr>
            <w:r>
              <w:rPr>
                <w:b w:val="0"/>
                <w:sz w:val="14"/>
              </w:rPr>
              <w:t>Temp Ordering</w:t>
            </w:r>
          </w:p>
        </w:tc>
        <w:tc>
          <w:tcPr>
            <w:tcW w:type="dxa" w:w="1656"/>
            <w:vAlign w:val="top"/>
            <w:tcMar>
              <w:top w:w="35" w:type="dxa"/>
              <w:left w:w="35" w:type="dxa"/>
              <w:bottom w:w="35" w:type="dxa"/>
              <w:right w:w="35" w:type="dxa"/>
            </w:tcMar>
          </w:tcPr>
          <w:p>
            <w:pPr>
              <w:spacing w:before="0" w:after="0"/>
            </w:pPr>
            <w:r>
              <w:rPr>
                <w:b w:val="0"/>
                <w:sz w:val="14"/>
              </w:rPr>
            </w:r>
            <w:r>
              <w:rPr>
                <w:sz w:val="14"/>
              </w:rPr>
              <w:t>extrapolated</w:t>
            </w:r>
          </w:p>
        </w:tc>
        <w:tc>
          <w:tcPr>
            <w:tcW w:type="dxa" w:w="1656"/>
            <w:vAlign w:val="top"/>
            <w:tcMar>
              <w:top w:w="35" w:type="dxa"/>
              <w:left w:w="35" w:type="dxa"/>
              <w:bottom w:w="35" w:type="dxa"/>
              <w:right w:w="35" w:type="dxa"/>
            </w:tcMar>
          </w:tcPr>
          <w:p>
            <w:pPr>
              <w:spacing w:before="0" w:after="0"/>
            </w:pPr>
            <w:r>
              <w:rPr>
                <w:b w:val="0"/>
                <w:sz w:val="14"/>
              </w:rPr>
              <w:t>10</w:t>
            </w:r>
          </w:p>
        </w:tc>
        <w:tc>
          <w:tcPr>
            <w:tcW w:type="dxa" w:w="1656"/>
            <w:vAlign w:val="top"/>
            <w:tcMar>
              <w:top w:w="35" w:type="dxa"/>
              <w:left w:w="35" w:type="dxa"/>
              <w:bottom w:w="35" w:type="dxa"/>
              <w:right w:w="35" w:type="dxa"/>
            </w:tcMar>
          </w:tcPr>
          <w:p>
            <w:pPr>
              <w:spacing w:before="0" w:after="0"/>
            </w:pPr>
            <w:r>
              <w:rPr>
                <w:b w:val="0"/>
                <w:sz w:val="14"/>
              </w:rPr>
              <w:t>17</w:t>
            </w:r>
          </w:p>
        </w:tc>
        <w:tc>
          <w:tcPr>
            <w:tcW w:type="dxa" w:w="1656"/>
            <w:vAlign w:val="top"/>
            <w:tcMar>
              <w:top w:w="35" w:type="dxa"/>
              <w:left w:w="35" w:type="dxa"/>
              <w:bottom w:w="35" w:type="dxa"/>
              <w:right w:w="35" w:type="dxa"/>
            </w:tcMar>
          </w:tcPr>
          <w:p>
            <w:pPr>
              <w:spacing w:before="0" w:after="0"/>
            </w:pPr>
            <w:r>
              <w:rPr>
                <w:b w:val="0"/>
                <w:sz w:val="14"/>
              </w:rPr>
              <w:t>0.808</w:t>
            </w:r>
          </w:p>
        </w:tc>
        <w:tc>
          <w:tcPr>
            <w:tcW w:type="dxa" w:w="1656"/>
            <w:vAlign w:val="top"/>
            <w:tcMar>
              <w:top w:w="35" w:type="dxa"/>
              <w:left w:w="35" w:type="dxa"/>
              <w:bottom w:w="35" w:type="dxa"/>
              <w:right w:w="35" w:type="dxa"/>
            </w:tcMar>
          </w:tcPr>
          <w:p>
            <w:pPr>
              <w:spacing w:before="0" w:after="0"/>
            </w:pPr>
            <w:r>
              <w:rPr>
                <w:b w:val="0"/>
                <w:sz w:val="14"/>
              </w:rPr>
            </w:r>
            <w:r>
              <w:rPr>
                <w:sz w:val="14"/>
              </w:rPr>
              <w:t>valid</w:t>
            </w:r>
          </w:p>
        </w:tc>
      </w:tr>
      <w:tr>
        <w:tc>
          <w:tcPr>
            <w:tcW w:type="dxa" w:w="1656"/>
            <w:vAlign w:val="top"/>
            <w:tcMar>
              <w:top w:w="35" w:type="dxa"/>
              <w:left w:w="35" w:type="dxa"/>
              <w:bottom w:w="35" w:type="dxa"/>
              <w:right w:w="35" w:type="dxa"/>
            </w:tcMar>
          </w:tcPr>
          <w:p>
            <w:pPr>
              <w:spacing w:before="0" w:after="0"/>
            </w:pPr>
            <w:r>
              <w:rPr>
                <w:b w:val="0"/>
                <w:sz w:val="14"/>
              </w:rPr>
              <w:t>WSD</w:t>
            </w:r>
          </w:p>
        </w:tc>
        <w:tc>
          <w:tcPr>
            <w:tcW w:type="dxa" w:w="1656"/>
            <w:vAlign w:val="top"/>
            <w:tcMar>
              <w:top w:w="35" w:type="dxa"/>
              <w:left w:w="35" w:type="dxa"/>
              <w:bottom w:w="35" w:type="dxa"/>
              <w:right w:w="35" w:type="dxa"/>
            </w:tcMar>
          </w:tcPr>
          <w:p>
            <w:pPr>
              <w:spacing w:before="0" w:after="0"/>
            </w:pPr>
            <w:r>
              <w:rPr>
                <w:b w:val="0"/>
                <w:sz w:val="14"/>
              </w:rPr>
            </w:r>
            <w:r>
              <w:rPr>
                <w:sz w:val="14"/>
              </w:rPr>
              <w:t>bounded/marginal</w:t>
            </w:r>
          </w:p>
        </w:tc>
        <w:tc>
          <w:tcPr>
            <w:tcW w:type="dxa" w:w="1656"/>
            <w:vAlign w:val="top"/>
            <w:tcMar>
              <w:top w:w="35" w:type="dxa"/>
              <w:left w:w="35" w:type="dxa"/>
              <w:bottom w:w="35" w:type="dxa"/>
              <w:right w:w="35" w:type="dxa"/>
            </w:tcMar>
          </w:tcPr>
          <w:p>
            <w:pPr>
              <w:spacing w:before="0" w:after="0"/>
            </w:pPr>
            <w:r>
              <w:rPr>
                <w:b w:val="0"/>
                <w:sz w:val="14"/>
              </w:rPr>
              <w:t>4</w:t>
            </w:r>
          </w:p>
        </w:tc>
        <w:tc>
          <w:tcPr>
            <w:tcW w:type="dxa" w:w="1656"/>
            <w:vAlign w:val="top"/>
            <w:tcMar>
              <w:top w:w="35" w:type="dxa"/>
              <w:left w:w="35" w:type="dxa"/>
              <w:bottom w:w="35" w:type="dxa"/>
              <w:right w:w="35" w:type="dxa"/>
            </w:tcMar>
          </w:tcPr>
          <w:p>
            <w:pPr>
              <w:spacing w:before="0" w:after="0"/>
            </w:pPr>
            <w:r>
              <w:rPr>
                <w:b w:val="0"/>
                <w:sz w:val="14"/>
              </w:rPr>
              <w:t>3</w:t>
            </w:r>
          </w:p>
        </w:tc>
        <w:tc>
          <w:tcPr>
            <w:tcW w:type="dxa" w:w="1656"/>
            <w:vAlign w:val="top"/>
            <w:tcMar>
              <w:top w:w="35" w:type="dxa"/>
              <w:left w:w="35" w:type="dxa"/>
              <w:bottom w:w="35" w:type="dxa"/>
              <w:right w:w="35" w:type="dxa"/>
            </w:tcMar>
          </w:tcPr>
          <w:p>
            <w:pPr>
              <w:spacing w:before="0" w:after="0"/>
            </w:pPr>
            <w:r>
              <w:rPr>
                <w:b w:val="0"/>
                <w:sz w:val="14"/>
              </w:rPr>
              <w:t>0.944</w:t>
            </w:r>
          </w:p>
        </w:tc>
        <w:tc>
          <w:tcPr>
            <w:tcW w:type="dxa" w:w="1656"/>
            <w:vAlign w:val="top"/>
            <w:tcMar>
              <w:top w:w="35" w:type="dxa"/>
              <w:left w:w="35" w:type="dxa"/>
              <w:bottom w:w="35" w:type="dxa"/>
              <w:right w:w="35" w:type="dxa"/>
            </w:tcMar>
          </w:tcPr>
          <w:p>
            <w:pPr>
              <w:spacing w:before="0" w:after="0"/>
            </w:pPr>
            <w:r>
              <w:rPr>
                <w:b w:val="0"/>
                <w:sz w:val="14"/>
              </w:rPr>
            </w:r>
            <w:r>
              <w:rPr>
                <w:sz w:val="14"/>
              </w:rPr>
              <w:t>valid</w:t>
            </w:r>
          </w:p>
        </w:tc>
      </w:tr>
      <w:tr>
        <w:tc>
          <w:tcPr>
            <w:tcW w:type="dxa" w:w="1656"/>
            <w:vAlign w:val="top"/>
            <w:tcMar>
              <w:top w:w="35" w:type="dxa"/>
              <w:left w:w="35" w:type="dxa"/>
              <w:bottom w:w="35" w:type="dxa"/>
              <w:right w:w="35" w:type="dxa"/>
            </w:tcMar>
          </w:tcPr>
          <w:p>
            <w:pPr>
              <w:spacing w:before="0" w:after="0"/>
            </w:pPr>
            <w:r>
              <w:rPr>
                <w:b w:val="0"/>
                <w:sz w:val="14"/>
              </w:rPr>
              <w:t>Affect avg</w:t>
            </w:r>
          </w:p>
        </w:tc>
        <w:tc>
          <w:tcPr>
            <w:tcW w:type="dxa" w:w="1656"/>
            <w:vAlign w:val="top"/>
            <w:tcMar>
              <w:top w:w="35" w:type="dxa"/>
              <w:left w:w="35" w:type="dxa"/>
              <w:bottom w:w="35" w:type="dxa"/>
              <w:right w:w="35" w:type="dxa"/>
            </w:tcMar>
          </w:tcPr>
          <w:p>
            <w:pPr>
              <w:spacing w:before="0" w:after="0"/>
            </w:pPr>
            <w:r>
              <w:rPr>
                <w:b w:val="0"/>
                <w:sz w:val="14"/>
              </w:rPr>
            </w:r>
            <w:r>
              <w:rPr>
                <w:sz w:val="14"/>
              </w:rPr>
              <w:t>bounded/marginal</w:t>
            </w:r>
          </w:p>
        </w:tc>
        <w:tc>
          <w:tcPr>
            <w:tcW w:type="dxa" w:w="1656"/>
            <w:vAlign w:val="top"/>
            <w:tcMar>
              <w:top w:w="35" w:type="dxa"/>
              <w:left w:w="35" w:type="dxa"/>
              <w:bottom w:w="35" w:type="dxa"/>
              <w:right w:w="35" w:type="dxa"/>
            </w:tcMar>
          </w:tcPr>
          <w:p>
            <w:pPr>
              <w:spacing w:before="0" w:after="0"/>
            </w:pPr>
            <w:r>
              <w:rPr>
                <w:b w:val="0"/>
                <w:sz w:val="14"/>
              </w:rPr>
              <w:t>10</w:t>
            </w:r>
          </w:p>
        </w:tc>
        <w:tc>
          <w:tcPr>
            <w:tcW w:type="dxa" w:w="1656"/>
            <w:vAlign w:val="top"/>
            <w:tcMar>
              <w:top w:w="35" w:type="dxa"/>
              <w:left w:w="35" w:type="dxa"/>
              <w:bottom w:w="35" w:type="dxa"/>
              <w:right w:w="35" w:type="dxa"/>
            </w:tcMar>
          </w:tcPr>
          <w:p>
            <w:pPr>
              <w:spacing w:before="0" w:after="0"/>
            </w:pPr>
            <w:r>
              <w:rPr>
                <w:b w:val="0"/>
                <w:sz w:val="14"/>
              </w:rPr>
              <w:t>17</w:t>
            </w:r>
          </w:p>
        </w:tc>
        <w:tc>
          <w:tcPr>
            <w:tcW w:type="dxa" w:w="1656"/>
            <w:vAlign w:val="top"/>
            <w:tcMar>
              <w:top w:w="35" w:type="dxa"/>
              <w:left w:w="35" w:type="dxa"/>
              <w:bottom w:w="35" w:type="dxa"/>
              <w:right w:w="35" w:type="dxa"/>
            </w:tcMar>
          </w:tcPr>
          <w:p>
            <w:pPr>
              <w:spacing w:before="0" w:after="0"/>
            </w:pPr>
            <w:r>
              <w:rPr>
                <w:b w:val="0"/>
                <w:sz w:val="14"/>
              </w:rPr>
              <w:t>0.863</w:t>
            </w:r>
          </w:p>
        </w:tc>
        <w:tc>
          <w:tcPr>
            <w:tcW w:type="dxa" w:w="1656"/>
            <w:vAlign w:val="top"/>
            <w:tcMar>
              <w:top w:w="35" w:type="dxa"/>
              <w:left w:w="35" w:type="dxa"/>
              <w:bottom w:w="35" w:type="dxa"/>
              <w:right w:w="35" w:type="dxa"/>
            </w:tcMar>
          </w:tcPr>
          <w:p>
            <w:pPr>
              <w:spacing w:before="0" w:after="0"/>
            </w:pPr>
            <w:r>
              <w:rPr>
                <w:b w:val="0"/>
                <w:sz w:val="14"/>
              </w:rPr>
            </w:r>
            <w:r>
              <w:rPr>
                <w:sz w:val="14"/>
              </w:rPr>
              <w:t>valid</w:t>
            </w:r>
          </w:p>
        </w:tc>
      </w:tr>
    </w:tbl>
    <w:p>
      <w:pPr>
        <w:pStyle w:val="TableCaption"/>
      </w:pPr>
      <w:r>
        <w:rPr>
          <w:rFonts w:ascii="Times New Roman" w:hAnsi="Times New Roman"/>
        </w:rPr>
      </w:r>
      <w:r>
        <w:rPr>
          <w:b/>
        </w:rPr>
        <w:t>TABLE VI. Nitti boundary summary. These results define admissibility limits rather than primary validation.</w:t>
      </w:r>
    </w:p>
    <w:tbl>
      <w:tblPr>
        <w:tblW w:type="auto" w:w="0"/>
        <w:jc w:val="center"/>
        <w:tblLayout w:type="autofit"/>
        <w:tblLook w:firstColumn="1" w:firstRow="1" w:lastColumn="0" w:lastRow="0" w:noHBand="0" w:noVBand="1" w:val="04A0"/>
      </w:tblPr>
      <w:tblGrid>
        <w:gridCol w:w="4968"/>
        <w:gridCol w:w="4968"/>
      </w:tblGrid>
      <w:tr>
        <w:tc>
          <w:tcPr>
            <w:tcW w:type="dxa" w:w="4968"/>
            <w:vAlign w:val="top"/>
            <w:tcMar>
              <w:top w:w="35" w:type="dxa"/>
              <w:left w:w="35" w:type="dxa"/>
              <w:bottom w:w="35" w:type="dxa"/>
              <w:right w:w="35" w:type="dxa"/>
            </w:tcMar>
          </w:tcPr>
          <w:p>
            <w:pPr>
              <w:spacing w:before="0" w:after="0"/>
            </w:pPr>
            <w:r>
              <w:rPr>
                <w:b/>
                <w:sz w:val="14"/>
              </w:rPr>
              <w:t>Diagnostic</w:t>
            </w:r>
          </w:p>
        </w:tc>
        <w:tc>
          <w:tcPr>
            <w:tcW w:type="dxa" w:w="4968"/>
            <w:vAlign w:val="top"/>
            <w:tcMar>
              <w:top w:w="35" w:type="dxa"/>
              <w:left w:w="35" w:type="dxa"/>
              <w:bottom w:w="35" w:type="dxa"/>
              <w:right w:w="35" w:type="dxa"/>
            </w:tcMar>
          </w:tcPr>
          <w:p>
            <w:pPr>
              <w:spacing w:before="0" w:after="0"/>
            </w:pPr>
            <w:r>
              <w:rPr>
                <w:b/>
                <w:sz w:val="14"/>
              </w:rPr>
              <w:t>Result</w:t>
            </w:r>
          </w:p>
        </w:tc>
      </w:tr>
      <w:tr>
        <w:tc>
          <w:tcPr>
            <w:tcW w:type="dxa" w:w="4968"/>
            <w:vAlign w:val="top"/>
            <w:tcMar>
              <w:top w:w="35" w:type="dxa"/>
              <w:left w:w="35" w:type="dxa"/>
              <w:bottom w:w="35" w:type="dxa"/>
              <w:right w:w="35" w:type="dxa"/>
            </w:tcMar>
          </w:tcPr>
          <w:p>
            <w:pPr>
              <w:spacing w:before="0" w:after="0"/>
            </w:pPr>
            <w:r>
              <w:rPr>
                <w:b w:val="0"/>
                <w:sz w:val="14"/>
              </w:rPr>
              <w:t>Sheets analyzed</w:t>
            </w:r>
          </w:p>
        </w:tc>
        <w:tc>
          <w:tcPr>
            <w:tcW w:type="dxa" w:w="4968"/>
            <w:vAlign w:val="top"/>
            <w:tcMar>
              <w:top w:w="35" w:type="dxa"/>
              <w:left w:w="35" w:type="dxa"/>
              <w:bottom w:w="35" w:type="dxa"/>
              <w:right w:w="35" w:type="dxa"/>
            </w:tcMar>
          </w:tcPr>
          <w:p>
            <w:pPr>
              <w:spacing w:before="0" w:after="0"/>
            </w:pPr>
            <w:r>
              <w:rPr>
                <w:b w:val="0"/>
                <w:sz w:val="14"/>
              </w:rPr>
              <w:t>63</w:t>
            </w:r>
          </w:p>
        </w:tc>
      </w:tr>
      <w:tr>
        <w:tc>
          <w:tcPr>
            <w:tcW w:type="dxa" w:w="4968"/>
            <w:vAlign w:val="top"/>
            <w:tcMar>
              <w:top w:w="35" w:type="dxa"/>
              <w:left w:w="35" w:type="dxa"/>
              <w:bottom w:w="35" w:type="dxa"/>
              <w:right w:w="35" w:type="dxa"/>
            </w:tcMar>
          </w:tcPr>
          <w:p>
            <w:pPr>
              <w:spacing w:before="0" w:after="0"/>
            </w:pPr>
            <w:r>
              <w:rPr>
                <w:b w:val="0"/>
                <w:sz w:val="14"/>
              </w:rPr>
              <w:t>Inverse-sqrt R2&gt;0.70</w:t>
            </w:r>
          </w:p>
        </w:tc>
        <w:tc>
          <w:tcPr>
            <w:tcW w:type="dxa" w:w="4968"/>
            <w:vAlign w:val="top"/>
            <w:tcMar>
              <w:top w:w="35" w:type="dxa"/>
              <w:left w:w="35" w:type="dxa"/>
              <w:bottom w:w="35" w:type="dxa"/>
              <w:right w:w="35" w:type="dxa"/>
            </w:tcMar>
          </w:tcPr>
          <w:p>
            <w:pPr>
              <w:spacing w:before="0" w:after="0"/>
            </w:pPr>
            <w:r>
              <w:rPr>
                <w:b w:val="0"/>
                <w:sz w:val="14"/>
              </w:rPr>
              <w:t>32/63</w:t>
            </w:r>
          </w:p>
        </w:tc>
      </w:tr>
      <w:tr>
        <w:tc>
          <w:tcPr>
            <w:tcW w:type="dxa" w:w="4968"/>
            <w:vAlign w:val="top"/>
            <w:tcMar>
              <w:top w:w="35" w:type="dxa"/>
              <w:left w:w="35" w:type="dxa"/>
              <w:bottom w:w="35" w:type="dxa"/>
              <w:right w:w="35" w:type="dxa"/>
            </w:tcMar>
          </w:tcPr>
          <w:p>
            <w:pPr>
              <w:spacing w:before="0" w:after="0"/>
            </w:pPr>
            <w:r>
              <w:rPr>
                <w:b w:val="0"/>
                <w:sz w:val="14"/>
              </w:rPr>
              <w:t>Valid epsilon-utility bridge</w:t>
            </w:r>
          </w:p>
        </w:tc>
        <w:tc>
          <w:tcPr>
            <w:tcW w:type="dxa" w:w="4968"/>
            <w:vAlign w:val="top"/>
            <w:tcMar>
              <w:top w:w="35" w:type="dxa"/>
              <w:left w:w="35" w:type="dxa"/>
              <w:bottom w:w="35" w:type="dxa"/>
              <w:right w:w="35" w:type="dxa"/>
            </w:tcMar>
          </w:tcPr>
          <w:p>
            <w:pPr>
              <w:spacing w:before="0" w:after="0"/>
            </w:pPr>
            <w:r>
              <w:rPr>
                <w:b w:val="0"/>
                <w:sz w:val="14"/>
              </w:rPr>
              <w:t>48/63</w:t>
            </w:r>
          </w:p>
        </w:tc>
      </w:tr>
      <w:tr>
        <w:tc>
          <w:tcPr>
            <w:tcW w:type="dxa" w:w="4968"/>
            <w:vAlign w:val="top"/>
            <w:tcMar>
              <w:top w:w="35" w:type="dxa"/>
              <w:left w:w="35" w:type="dxa"/>
              <w:bottom w:w="35" w:type="dxa"/>
              <w:right w:w="35" w:type="dxa"/>
            </w:tcMar>
          </w:tcPr>
          <w:p>
            <w:pPr>
              <w:spacing w:before="0" w:after="0"/>
            </w:pPr>
            <w:r>
              <w:rPr>
                <w:b w:val="0"/>
                <w:sz w:val="14"/>
              </w:rPr>
              <w:t>Boundary checklist pass</w:t>
            </w:r>
          </w:p>
        </w:tc>
        <w:tc>
          <w:tcPr>
            <w:tcW w:type="dxa" w:w="4968"/>
            <w:vAlign w:val="top"/>
            <w:tcMar>
              <w:top w:w="35" w:type="dxa"/>
              <w:left w:w="35" w:type="dxa"/>
              <w:bottom w:w="35" w:type="dxa"/>
              <w:right w:w="35" w:type="dxa"/>
            </w:tcMar>
          </w:tcPr>
          <w:p>
            <w:pPr>
              <w:spacing w:before="0" w:after="0"/>
            </w:pPr>
            <w:r>
              <w:rPr>
                <w:b w:val="0"/>
                <w:sz w:val="14"/>
              </w:rPr>
              <w:t>27/63</w:t>
            </w:r>
          </w:p>
        </w:tc>
      </w:tr>
      <w:tr>
        <w:tc>
          <w:tcPr>
            <w:tcW w:type="dxa" w:w="4968"/>
            <w:vAlign w:val="top"/>
            <w:tcMar>
              <w:top w:w="35" w:type="dxa"/>
              <w:left w:w="35" w:type="dxa"/>
              <w:bottom w:w="35" w:type="dxa"/>
              <w:right w:w="35" w:type="dxa"/>
            </w:tcMar>
          </w:tcPr>
          <w:p>
            <w:pPr>
              <w:spacing w:before="0" w:after="0"/>
            </w:pPr>
            <w:r>
              <w:rPr>
                <w:b w:val="0"/>
                <w:sz w:val="14"/>
              </w:rPr>
            </w:r>
            <w:r>
              <w:rPr>
                <w:sz w:val="14"/>
              </w:rPr>
              <w:t>Early stop at λ=.9</w:t>
            </w:r>
          </w:p>
        </w:tc>
        <w:tc>
          <w:tcPr>
            <w:tcW w:type="dxa" w:w="4968"/>
            <w:vAlign w:val="top"/>
            <w:tcMar>
              <w:top w:w="35" w:type="dxa"/>
              <w:left w:w="35" w:type="dxa"/>
              <w:bottom w:w="35" w:type="dxa"/>
              <w:right w:w="35" w:type="dxa"/>
            </w:tcMar>
          </w:tcPr>
          <w:p>
            <w:pPr>
              <w:spacing w:before="0" w:after="0"/>
            </w:pPr>
            <w:r>
              <w:rPr>
                <w:b w:val="0"/>
                <w:sz w:val="14"/>
              </w:rPr>
              <w:t>61/63</w:t>
            </w:r>
          </w:p>
        </w:tc>
      </w:tr>
    </w:tbl>
    <w:p>
      <w:pPr>
        <w:sectPr>
          <w:type w:val="continuous"/>
          <w:pgSz w:w="11520" w:h="15660" w:code="1"/>
          <w:pgMar w:top="936" w:right="792" w:bottom="749" w:left="792" w:header="360" w:footer="640" w:gutter="0"/>
          <w:cols w:num="1" w:space="720"/>
          <w:docGrid w:linePitch="360"/>
        </w:sectPr>
      </w:pPr>
    </w:p>
    <w:p>
      <w:pPr>
        <w:pStyle w:val="H1ListSpace"/>
      </w:pPr>
      <w:r>
        <w:rPr>
          <w:rFonts w:ascii="Times New Roman" w:hAnsi="Times New Roman"/>
          <w:b/>
          <w:sz w:val="16"/>
        </w:rPr>
        <w:t>REFERENCES</w:t>
      </w:r>
    </w:p>
    <w:p>
      <w:pPr>
        <w:pStyle w:val="Ref"/>
      </w:pPr>
      <w:r>
        <w:t>[1] M. de Condorcet, Essai sur l'application de l'analyse a la probabilite des decisions rendues a la pluralite des voix. Paris, France: Imprimerie Royale, 1785.</w:t>
      </w:r>
    </w:p>
    <w:p>
      <w:pPr>
        <w:pStyle w:val="Ref"/>
      </w:pPr>
      <w:r>
        <w:t>[2] H. Hamann and A. Reina, "Scalability in computing and robotics," IEEE Trans. Comput., vol. 71, no. 6, pp. 1453-1465, Jun. 2022, doi: 10.1109/TC.2021.3089044.</w:t>
      </w:r>
    </w:p>
    <w:p>
      <w:pPr>
        <w:pStyle w:val="Ref"/>
      </w:pPr>
      <w:r>
        <w:t>[3] N. J. Gunther, "A simple capacity model of massively parallel transaction systems," in Proc. CMG Conf., 1993, pp. 1035-1044.</w:t>
      </w:r>
    </w:p>
    <w:p>
      <w:pPr>
        <w:pStyle w:val="Ref"/>
      </w:pPr>
      <w:r>
        <w:t>[4] J. C. Peterson, R. M. Battleday, T. L. Griffiths, and O. Russakovsky, "Human uncertainty makes classification more robust," in Proc. IEEE/CVF Int. Conf. Comput. Vis. (ICCV), 2019, pp. 9617-9626.</w:t>
      </w:r>
    </w:p>
    <w:p>
      <w:pPr>
        <w:pStyle w:val="Ref"/>
      </w:pPr>
      <w:r>
        <w:t>[5] Y. Nie, X. Zhou, and M. Bansal, "What can we learn from collective human opinions on natural language inference data?" in Proc. Conf. Empirical Methods Natural Language Processing (EMNLP), 2020, pp. 9131-9143, doi: 10.18653/v1/2020.emnlp-main.734.</w:t>
      </w:r>
    </w:p>
    <w:p>
      <w:pPr>
        <w:pStyle w:val="Ref"/>
      </w:pPr>
      <w:r>
        <w:t>[6] A. Swanson et al., "Snapshot Serengeti, high-frequency annotated camera trap images of 40 mammalian species in an African savanna," Sci. Data, vol. 2, Art. no. 150026, 2015, doi: 10.1038/sdata.2015.26.</w:t>
      </w:r>
    </w:p>
    <w:p>
      <w:pPr>
        <w:pStyle w:val="Ref"/>
      </w:pPr>
      <w:r>
        <w:t>[7] T. S. Ferguson, Optimal Stopping and Applications. Los Angeles, CA, USA: UCLA, 2006.</w:t>
      </w:r>
    </w:p>
    <w:p>
      <w:pPr>
        <w:pStyle w:val="Ref"/>
      </w:pPr>
      <w:r>
        <w:t>[8] Y. Bachrach and J. S. Rosenschein, "Distributed multiagent resource allocation in diminishing marginal return domains," in Proc. 7th Int. Conf. Autonomous Agents and Multiagent Systems (AAMAS), 2008, pp. 1103-1110.</w:t>
      </w:r>
    </w:p>
    <w:p>
      <w:pPr>
        <w:pStyle w:val="Ref"/>
      </w:pPr>
      <w:r>
        <w:t>[9] T. Soma, N. Kakimura, K. Inaba, and K. Kawarabayashi, "Optimal budget allocation: Theoretical guarantee and efficient algorithm," in Proc. 31st Int. Conf. Machine Learning (ICML), PMLR, vol. 32, 2014, pp. 351-359.</w:t>
      </w:r>
    </w:p>
    <w:p>
      <w:pPr>
        <w:pStyle w:val="Ref"/>
      </w:pPr>
      <w:r>
        <w:t>[10] B. Efron and R. J. Tibshirani, An Introduction to the Bootstrap. New York, NY, USA: Chapman &amp; Hall, 1993.</w:t>
      </w:r>
    </w:p>
    <w:p>
      <w:pPr>
        <w:pStyle w:val="Ref"/>
      </w:pPr>
      <w:r>
        <w:t>[11] A. C. Davison and D. V. Hinkley, Bootstrap Methods and Their Application. Cambridge, U.K.: Cambridge Univ. Press, 1997, doi: 10.1017/CBO9780511802843.</w:t>
      </w:r>
    </w:p>
    <w:p>
      <w:pPr>
        <w:pStyle w:val="Ref"/>
      </w:pPr>
      <w:r>
        <w:t>[12] H. Akaike, "A new look at the statistical model identification," IEEE Trans. Autom. Control, vol. AC-19, no. 6, pp. 716-723, Dec. 1974, doi: 10.1109/TAC.1974.1100705.</w:t>
      </w:r>
    </w:p>
    <w:p>
      <w:pPr>
        <w:pStyle w:val="Ref"/>
      </w:pPr>
      <w:r>
        <w:t>[13] D. M. Bates and D. G. Watts, Nonlinear Regression Analysis and Its Applications. New York, NY, USA: Wiley, 1988.</w:t>
      </w:r>
    </w:p>
    <w:p>
      <w:pPr>
        <w:pStyle w:val="Ref"/>
      </w:pPr>
      <w:r>
        <w:t>[14] S. A. Bingöl, T. Töpfer, S. Kosub, H. Hamann, and A. Reina, "Optimal scalability-aware allocation of swarm robots: From linear to retrograde performance via marginal gains," arXiv:2512.23431, 2025.</w:t>
      </w:r>
    </w:p>
    <w:p>
      <w:pPr>
        <w:pStyle w:val="Ref"/>
      </w:pPr>
      <w:r>
        <w:t>[15] R. Snow, B. O'Connor, D. Jurafsky, and A. Y. Ng, "Cheap and fast-but is it good? Evaluating non-expert annotations for natural language tasks," in Proc. Conf. Empirical Methods Natural Language Processing (EMNLP), 2008, pp. 254-263.</w:t>
      </w:r>
    </w:p>
    <w:p>
      <w:pPr>
        <w:pStyle w:val="Ref"/>
      </w:pPr>
      <w:r>
        <w:t>[16] A. Nitti, M. D. de Tullio, I. Federico, and G. Carbone, "A collective intelligence model for swarm robotics applications," Nat. Commun., vol. 16, Art. no. 6572, 2025, doi: 10.1038/s41467-025-61985-7.</w:t>
      </w:r>
    </w:p>
    <w:p>
      <w:pPr>
        <w:pStyle w:val="Ref"/>
      </w:pPr>
      <w:r>
        <w:t>[17] V. S. Sheng, F. Provost, and P. G. Ipeirotis, "Get another label? Improving data quality and data mining using multiple, noisy labelers," in Proc. 14th ACM SIGKDD Int. Conf. Knowl. Discovery Data Mining (KDD), 2008, pp. 614-622, doi: 10.1145/1401890.1401965.</w:t>
      </w:r>
    </w:p>
    <w:p>
      <w:pPr>
        <w:pStyle w:val="Ref"/>
      </w:pPr>
      <w:r>
        <w:t>[18] A. P. Dawid and A. M. Skene, "Maximum likelihood estimation of observer error-rates using the EM algorithm," J. Roy. Stat. Soc. Ser. C (Appl. Stat.), vol. 28, no. 1, pp. 20-28, 1979, doi: 10.2307/2346806.</w:t>
      </w:r>
    </w:p>
    <w:p>
      <w:pPr>
        <w:pStyle w:val="Ref"/>
      </w:pPr>
      <w:r>
        <w:t>[19] J. Whitehill, T.-F. Wu, J. Bergsma, J. R. Movellan, and P. L. Ruvolo, "Whose vote should count more: Optimal integration of labels from labelers of unknown expertise," in Adv. Neural Inf. Process. Syst., vol. 22, 2009, pp. 2035-2043.</w:t>
      </w:r>
    </w:p>
    <w:p>
      <w:pPr>
        <w:pStyle w:val="Ref"/>
      </w:pPr>
      <w:r>
        <w:t>[20] P. Welinder, S. Branson, S. Belongie, and P. Perona, "The multidimensional wisdom of crowds," in Adv. Neural Inf. Process. Syst., vol. 23, 2010, pp. 2424-2432.</w:t>
      </w:r>
    </w:p>
    <w:p>
      <w:pPr>
        <w:pStyle w:val="Ref"/>
      </w:pPr>
      <w:r>
        <w:t>[21] V. C. Raykar et al., "Learning from crowds," J. Mach. Learn. Res., vol. 11, no. 43, pp. 1297-1322, 2010.</w:t>
      </w:r>
    </w:p>
    <w:p>
      <w:pPr>
        <w:pStyle w:val="Ref"/>
      </w:pPr>
      <w:r>
        <w:t>[22] D. R. Karger, S. Oh, and D. Shah, "Budget-optimal task allocation for reliable crowdsourcing systems," Oper. Res., vol. 62, no. 1, pp. 1-24, 2014, doi: 10.1287/opre.2013.1235.</w:t>
      </w:r>
    </w:p>
    <w:p>
      <w:r>
        <w:t>[23] OpenAI, "Introducing Codex," May 16, 2025. [Online]. Available: https://openai.com/index/introducing-codex/</w:t>
      </w:r>
    </w:p>
    <w:p>
      <w:pPr>
        <w:pStyle w:val="H1ListSpace"/>
      </w:pPr>
      <w:r>
        <w:rPr>
          <w:rFonts w:ascii="Times New Roman" w:hAnsi="Times New Roman"/>
          <w:b/>
          <w:sz w:val="16"/>
        </w:rPr>
        <w:t>BIOGRAPHY</w:t>
      </w:r>
    </w:p>
    <w:p>
      <w:pPr>
        <w:pStyle w:val="PARA"/>
      </w:pPr>
      <w:r>
        <w:rPr>
          <w:rFonts w:ascii="Times New Roman" w:hAnsi="Times New Roman"/>
          <w:sz w:val="16"/>
        </w:rPr>
        <w:t>BongKeun Song received the M.S. degree in microbial and biochemical engineering and is currently a doctoral researcher affiliated with Friedrich-Alexander-Universität Erlangen-Nürnberg. His research interests include collective systems, human-in-the-loop control, simulation-based evaluation, and reproducible decision frameworks.</w:t>
      </w:r>
    </w:p>
    <w:sectPr w:rsidR="0003253A" w:rsidRPr="006A0B53" w:rsidSect="00CB2DB1">
      <w:type w:val="continuous"/>
      <w:pgSz w:w="11520" w:h="15660" w:code="1"/>
      <w:pgMar w:top="936" w:right="533" w:bottom="749" w:left="533"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81F025" w14:textId="77777777" w:rsidR="00CB2DB1" w:rsidRDefault="00CB2DB1">
      <w:r>
        <w:separator/>
      </w:r>
    </w:p>
  </w:endnote>
  <w:endnote w:type="continuationSeparator" w:id="0">
    <w:p w14:paraId="2EDD80A7" w14:textId="77777777" w:rsidR="00CB2DB1" w:rsidRDefault="00CB2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Regular">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ormata OTF">
    <w:altName w:val="Calibri"/>
    <w:panose1 w:val="00000000000000000000"/>
    <w:charset w:val="00"/>
    <w:family w:val="modern"/>
    <w:notTrueType/>
    <w:pitch w:val="variable"/>
    <w:sig w:usb0="8000002F" w:usb1="40000048"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NimbusRomNo9L-ReguItal">
    <w:altName w:val="MS Gothic"/>
    <w:panose1 w:val="00000000000000000000"/>
    <w:charset w:val="80"/>
    <w:family w:val="auto"/>
    <w:notTrueType/>
    <w:pitch w:val="default"/>
    <w:sig w:usb0="00000001" w:usb1="08070000" w:usb2="00000010" w:usb3="00000000" w:csb0="00020000" w:csb1="00000000"/>
  </w:font>
  <w:font w:name="CMMI10">
    <w:altName w:val="Arial Unicode MS"/>
    <w:panose1 w:val="00000000000000000000"/>
    <w:charset w:val="81"/>
    <w:family w:val="auto"/>
    <w:notTrueType/>
    <w:pitch w:val="default"/>
    <w:sig w:usb0="00000001" w:usb1="09060000" w:usb2="00000010" w:usb3="00000000" w:csb0="00080000" w:csb1="00000000"/>
  </w:font>
  <w:font w:name="CMR10">
    <w:altName w:val="MS Gothic"/>
    <w:panose1 w:val="00000000000000000000"/>
    <w:charset w:val="80"/>
    <w:family w:val="auto"/>
    <w:notTrueType/>
    <w:pitch w:val="default"/>
    <w:sig w:usb0="00000001" w:usb1="08070000" w:usb2="00000010" w:usb3="00000000" w:csb0="00020000" w:csb1="00000000"/>
  </w:font>
  <w:font w:name="CMSY7">
    <w:altName w:val="MS Gothic"/>
    <w:panose1 w:val="00000000000000000000"/>
    <w:charset w:val="80"/>
    <w:family w:val="auto"/>
    <w:notTrueType/>
    <w:pitch w:val="default"/>
    <w:sig w:usb0="00000001" w:usb1="08070000" w:usb2="00000010" w:usb3="00000000" w:csb0="00020000" w:csb1="00000000"/>
  </w:font>
  <w:font w:name="Times-Italic">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B976A" w14:textId="77777777" w:rsidR="009C79C4" w:rsidRPr="00B979BB" w:rsidRDefault="009C79C4" w:rsidP="00422716">
    <w:pPr>
      <w:pStyle w:val="Footer"/>
      <w:tabs>
        <w:tab w:val="clear" w:pos="4320"/>
        <w:tab w:val="clear" w:pos="8640"/>
        <w:tab w:val="right" w:pos="10044"/>
      </w:tabs>
      <w:rPr>
        <w:rFonts w:ascii="Helvetica" w:hAnsi="Helvetica"/>
        <w:sz w:val="12"/>
        <w:szCs w:val="12"/>
      </w:rPr>
    </w:pPr>
    <w:r w:rsidRPr="00B979BB">
      <w:rPr>
        <w:rFonts w:ascii="Helvetica" w:hAnsi="Helvetica" w:cs="FormataOTF-Reg"/>
        <w:sz w:val="12"/>
        <w:szCs w:val="12"/>
      </w:rPr>
      <w:t>VOLUME XX, 2017</w:t>
    </w:r>
    <w:r w:rsidRPr="00B979BB">
      <w:rPr>
        <w:rFonts w:ascii="Helvetica" w:hAnsi="Helvetica" w:cs="FormataOTF-Reg"/>
        <w:sz w:val="12"/>
        <w:szCs w:val="12"/>
      </w:rP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DA35C" w14:textId="77777777" w:rsidR="009C79C4" w:rsidRPr="00B979BB" w:rsidRDefault="009C79C4" w:rsidP="00E721A9">
    <w:pPr>
      <w:pStyle w:val="Footer"/>
      <w:tabs>
        <w:tab w:val="clear" w:pos="4320"/>
        <w:tab w:val="clear" w:pos="8640"/>
        <w:tab w:val="center" w:pos="9540"/>
      </w:tabs>
      <w:rPr>
        <w:rFonts w:ascii="Helvetica" w:hAnsi="Helvetica"/>
        <w:sz w:val="12"/>
      </w:rPr>
    </w:pPr>
    <w:r w:rsidRPr="00B979BB">
      <w:rPr>
        <w:rFonts w:ascii="Helvetica" w:hAnsi="Helvetica" w:cs="FormataOTF-Reg"/>
        <w:sz w:val="12"/>
        <w:szCs w:val="14"/>
      </w:rPr>
      <w:t>2</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2D52E" w14:textId="77777777" w:rsidR="009C79C4" w:rsidRPr="00B979BB" w:rsidRDefault="009C79C4" w:rsidP="00CD6C55">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F3105" w14:textId="77777777" w:rsidR="009C79C4" w:rsidRPr="00B979BB" w:rsidRDefault="009C79C4" w:rsidP="00E721A9">
    <w:pPr>
      <w:pStyle w:val="Footer"/>
      <w:tabs>
        <w:tab w:val="clear" w:pos="4320"/>
        <w:tab w:val="clear" w:pos="8640"/>
        <w:tab w:val="center" w:pos="9540"/>
      </w:tabs>
      <w:rPr>
        <w:rFonts w:ascii="Helvetica" w:hAnsi="Helvetica"/>
        <w:sz w:val="12"/>
      </w:rPr>
    </w:pPr>
    <w:r>
      <w:rPr>
        <w:rFonts w:ascii="Helvetica" w:hAnsi="Helvetica" w:cs="FormataOTF-Reg"/>
        <w:sz w:val="12"/>
        <w:szCs w:val="14"/>
      </w:rPr>
      <w:t>4</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13273" w14:textId="32EC74B2" w:rsidR="007A706D" w:rsidRPr="00B979BB" w:rsidRDefault="007A706D"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B9B43" w14:textId="4C883922"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6</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08833" w14:textId="5184F99D" w:rsidR="005C7DF8" w:rsidRPr="00B979BB" w:rsidRDefault="005C7DF8"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7</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B6DD2" w14:textId="30D85FD1" w:rsidR="005C7DF8" w:rsidRPr="00B979BB" w:rsidRDefault="005C7DF8" w:rsidP="005C7DF8">
    <w:pPr>
      <w:pStyle w:val="Footer"/>
      <w:tabs>
        <w:tab w:val="clear" w:pos="4320"/>
        <w:tab w:val="clear" w:pos="8640"/>
        <w:tab w:val="center" w:pos="9540"/>
      </w:tabs>
      <w:jc w:val="right"/>
      <w:rPr>
        <w:rFonts w:ascii="Helvetica" w:hAnsi="Helvetica"/>
        <w:sz w:val="12"/>
      </w:rPr>
    </w:pPr>
    <w:r>
      <w:rPr>
        <w:rFonts w:ascii="Helvetica" w:hAnsi="Helvetica" w:cs="FormataOTF-Reg"/>
        <w:sz w:val="12"/>
        <w:szCs w:val="14"/>
      </w:rPr>
    </w:r>
    <w:r w:rsidRPr="00B979BB">
      <w:rPr>
        <w:rFonts w:ascii="Helvetica" w:hAnsi="Helvetica" w:cs="FormataOTF-Reg"/>
        <w:sz w:val="12"/>
        <w:szCs w:val="14"/>
      </w:rPr>
    </w:r>
    <w:r w:rsidRPr="00B979BB">
      <w:rPr>
        <w:rFonts w:ascii="Helvetica" w:hAnsi="Helvetica" w:cs="FormataOTF-Reg"/>
        <w:sz w:val="12"/>
        <w:szCs w:val="12"/>
      </w:rPr>
    </w:r>
    <w:r>
      <w:rPr>
        <w:sz w:val="16"/>
      </w:rPr>
    </w:r>
    <w:r>
      <w:rPr>
        <w:sz w:val="16"/>
      </w:rPr>
    </w:r>
    <w:r>
      <w:rPr>
        <w:sz w:val="16"/>
      </w:rPr>
    </w:r>
    <w:r>
      <w:rPr>
        <w:sz w:val="16"/>
      </w:rPr>
      <w:t>VOLUME XX,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F8603C" w14:textId="77777777" w:rsidR="00CB2DB1" w:rsidRDefault="00CB2DB1">
      <w:r>
        <w:separator/>
      </w:r>
    </w:p>
  </w:footnote>
  <w:footnote w:type="continuationSeparator" w:id="0">
    <w:p w14:paraId="1E081D45" w14:textId="77777777" w:rsidR="00CB2DB1" w:rsidRDefault="00CB2DB1">
      <w:r>
        <w:continuationSeparator/>
      </w:r>
    </w:p>
  </w:footnote>
  <w:footnote w:id="1">
    <w:p w14:paraId="3296347A" w14:textId="77777777" w:rsidR="009C79C4" w:rsidRDefault="009C79C4" w:rsidP="001C597C">
      <w:pPr>
        <w:pStyle w:val="FootnoteText"/>
      </w:pPr>
      <w:r>
        <w:rPr>
          <w:rStyle w:val="FootnoteReference"/>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5B0C1" w14:textId="77777777" w:rsidR="009C79C4" w:rsidRPr="00E721A9" w:rsidRDefault="009C79C4" w:rsidP="00E721A9">
    <w:pPr>
      <w:pStyle w:val="Header"/>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rPr>
      <w:drawing>
        <wp:inline distT="0" distB="0" distL="0" distR="0" wp14:anchorId="396B900A" wp14:editId="6E819850">
          <wp:extent cx="1169670" cy="297815"/>
          <wp:effectExtent l="0" t="0" r="0" b="6985"/>
          <wp:docPr id="3" name="Pictur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23C04" w14:textId="77777777" w:rsidR="009C79C4" w:rsidRPr="00CB191E" w:rsidRDefault="009C79C4" w:rsidP="00B979BB">
    <w:pPr>
      <w:pStyle w:val="Header"/>
      <w:pBdr>
        <w:bottom w:val="single" w:sz="4" w:space="3" w:color="auto"/>
      </w:pBdr>
      <w:tabs>
        <w:tab w:val="clear" w:pos="4320"/>
        <w:tab w:val="left" w:pos="5472"/>
      </w:tabs>
      <w:rPr>
        <w:rFonts w:ascii="Helvetica" w:hAnsi="Helvetica" w:cs="FormataOTF-Reg"/>
        <w:sz w:val="14"/>
        <w:szCs w:val="14"/>
      </w:rPr>
    </w:pPr>
    <w:r>
      <w:rPr>
        <w:rFonts w:ascii="Formata OTF" w:hAnsi="Formata OTF" w:cs="FormataOTF-Reg"/>
        <w:noProof/>
        <w:sz w:val="14"/>
        <w:szCs w:val="14"/>
      </w:rPr>
      <w:drawing>
        <wp:inline distT="0" distB="0" distL="0" distR="0" wp14:anchorId="7CBD163E" wp14:editId="7D0B38FD">
          <wp:extent cx="977900" cy="170180"/>
          <wp:effectExtent l="0" t="0" r="0" b="1270"/>
          <wp:docPr id="4" name="Picture 4" descr="notaglineLogo-eps-converted-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taglineLogo-eps-converted-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170180"/>
                  </a:xfrm>
                  <a:prstGeom prst="rect">
                    <a:avLst/>
                  </a:prstGeom>
                  <a:noFill/>
                  <a:ln>
                    <a:noFill/>
                  </a:ln>
                </pic:spPr>
              </pic:pic>
            </a:graphicData>
          </a:graphic>
        </wp:inline>
      </w:drawing>
    </w:r>
    <w:r>
      <w:rPr>
        <w:rFonts w:ascii="Formata OTF" w:hAnsi="Formata OTF" w:cs="FormataOTF-Reg"/>
        <w:sz w:val="14"/>
        <w:szCs w:val="14"/>
      </w:rPr>
      <w:tab/>
    </w:r>
    <w:r>
      <w:rPr>
        <w:rFonts w:ascii="Helvetica" w:hAnsi="Helvetica" w:cs="FormataOTF-Reg"/>
        <w:sz w:val="14"/>
        <w:szCs w:val="14"/>
      </w:rPr>
      <w:t>Author Name</w:t>
    </w:r>
    <w:r w:rsidRPr="00B979BB">
      <w:rPr>
        <w:rFonts w:ascii="Helvetica" w:hAnsi="Helvetica" w:cs="FormataOTF-Reg"/>
        <w:sz w:val="14"/>
        <w:szCs w:val="14"/>
      </w:rPr>
      <w:t xml:space="preserve">: </w:t>
    </w:r>
    <w:r w:rsidRPr="00CB191E">
      <w:rPr>
        <w:rFonts w:ascii="Helvetica" w:hAnsi="Helvetica" w:cs="FormataOTF-Reg"/>
        <w:sz w:val="14"/>
        <w:szCs w:val="14"/>
      </w:rPr>
      <w:t>Preparation of Papers for IEEE Access (February 2017)</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0532B4F"/>
    <w:multiLevelType w:val="multilevel"/>
    <w:tmpl w:val="1A824A18"/>
    <w:lvl w:ilvl="0">
      <w:start w:val="4"/>
      <w:numFmt w:val="upperLetter"/>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6453F57"/>
    <w:multiLevelType w:val="multilevel"/>
    <w:tmpl w:val="CD96871E"/>
    <w:numStyleLink w:val="H2Restart"/>
  </w:abstractNum>
  <w:abstractNum w:abstractNumId="4"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96E735E"/>
    <w:multiLevelType w:val="multilevel"/>
    <w:tmpl w:val="CD96871E"/>
    <w:numStyleLink w:val="H2Restart"/>
  </w:abstractNum>
  <w:abstractNum w:abstractNumId="6"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4232A68"/>
    <w:multiLevelType w:val="multilevel"/>
    <w:tmpl w:val="A3CEC990"/>
    <w:numStyleLink w:val="H2afterH1New"/>
  </w:abstractNum>
  <w:abstractNum w:abstractNumId="8" w15:restartNumberingAfterBreak="0">
    <w:nsid w:val="197F4013"/>
    <w:multiLevelType w:val="multilevel"/>
    <w:tmpl w:val="CD96871E"/>
    <w:numStyleLink w:val="H2Restart"/>
  </w:abstractNum>
  <w:abstractNum w:abstractNumId="9" w15:restartNumberingAfterBreak="0">
    <w:nsid w:val="1AD9271D"/>
    <w:multiLevelType w:val="multilevel"/>
    <w:tmpl w:val="1A824A18"/>
    <w:lvl w:ilvl="0">
      <w:start w:val="4"/>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1F74BC5"/>
    <w:multiLevelType w:val="multilevel"/>
    <w:tmpl w:val="CD96871E"/>
    <w:numStyleLink w:val="H2Restart"/>
  </w:abstractNum>
  <w:abstractNum w:abstractNumId="11"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2"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A0841DE"/>
    <w:multiLevelType w:val="multilevel"/>
    <w:tmpl w:val="A3CEC990"/>
    <w:numStyleLink w:val="H2afterH1New"/>
  </w:abstractNum>
  <w:abstractNum w:abstractNumId="14" w15:restartNumberingAfterBreak="0">
    <w:nsid w:val="2E5117DB"/>
    <w:multiLevelType w:val="multilevel"/>
    <w:tmpl w:val="CD96871E"/>
    <w:numStyleLink w:val="H2Restart"/>
  </w:abstractNum>
  <w:abstractNum w:abstractNumId="15" w15:restartNumberingAfterBreak="0">
    <w:nsid w:val="2F754583"/>
    <w:multiLevelType w:val="hybridMultilevel"/>
    <w:tmpl w:val="FA38E1D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B34D1D"/>
    <w:multiLevelType w:val="multilevel"/>
    <w:tmpl w:val="CD96871E"/>
    <w:numStyleLink w:val="H2Restart"/>
  </w:abstractNum>
  <w:abstractNum w:abstractNumId="17"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34BF4C83"/>
    <w:multiLevelType w:val="multilevel"/>
    <w:tmpl w:val="CD96871E"/>
    <w:numStyleLink w:val="H2Restart"/>
  </w:abstractNum>
  <w:abstractNum w:abstractNumId="19" w15:restartNumberingAfterBreak="0">
    <w:nsid w:val="357A45C8"/>
    <w:multiLevelType w:val="multilevel"/>
    <w:tmpl w:val="CD96871E"/>
    <w:numStyleLink w:val="H2Restart"/>
  </w:abstractNum>
  <w:abstractNum w:abstractNumId="20"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2" w15:restartNumberingAfterBreak="0">
    <w:nsid w:val="3B142FBD"/>
    <w:multiLevelType w:val="multilevel"/>
    <w:tmpl w:val="C2281CF6"/>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3D90722D"/>
    <w:multiLevelType w:val="multilevel"/>
    <w:tmpl w:val="CD96871E"/>
    <w:numStyleLink w:val="H2Restart"/>
  </w:abstractNum>
  <w:abstractNum w:abstractNumId="25" w15:restartNumberingAfterBreak="0">
    <w:nsid w:val="442B60CD"/>
    <w:multiLevelType w:val="multilevel"/>
    <w:tmpl w:val="CD96871E"/>
    <w:numStyleLink w:val="H2Restart"/>
  </w:abstractNum>
  <w:abstractNum w:abstractNumId="26" w15:restartNumberingAfterBreak="0">
    <w:nsid w:val="4A1139B8"/>
    <w:multiLevelType w:val="multilevel"/>
    <w:tmpl w:val="BFB29B88"/>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4A8B0ABB"/>
    <w:multiLevelType w:val="multilevel"/>
    <w:tmpl w:val="CD96871E"/>
    <w:numStyleLink w:val="H2Restart"/>
  </w:abstractNum>
  <w:abstractNum w:abstractNumId="28"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4D6E47F2"/>
    <w:multiLevelType w:val="multilevel"/>
    <w:tmpl w:val="CD96871E"/>
    <w:numStyleLink w:val="H2Restart"/>
  </w:abstractNum>
  <w:abstractNum w:abstractNumId="30" w15:restartNumberingAfterBreak="0">
    <w:nsid w:val="50410D7D"/>
    <w:multiLevelType w:val="multilevel"/>
    <w:tmpl w:val="CD96871E"/>
    <w:numStyleLink w:val="H2Restart"/>
  </w:abstractNum>
  <w:abstractNum w:abstractNumId="31"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021B99"/>
    <w:multiLevelType w:val="multilevel"/>
    <w:tmpl w:val="CD96871E"/>
    <w:numStyleLink w:val="H2Restart"/>
  </w:abstractNum>
  <w:abstractNum w:abstractNumId="33" w15:restartNumberingAfterBreak="0">
    <w:nsid w:val="5E744E82"/>
    <w:multiLevelType w:val="multilevel"/>
    <w:tmpl w:val="CD96871E"/>
    <w:numStyleLink w:val="H2Restart"/>
  </w:abstractNum>
  <w:abstractNum w:abstractNumId="34"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64D460AA"/>
    <w:multiLevelType w:val="multilevel"/>
    <w:tmpl w:val="CD96871E"/>
    <w:numStyleLink w:val="H2Restart"/>
  </w:abstractNum>
  <w:abstractNum w:abstractNumId="36" w15:restartNumberingAfterBreak="0">
    <w:nsid w:val="651D64E4"/>
    <w:multiLevelType w:val="multilevel"/>
    <w:tmpl w:val="CD96871E"/>
    <w:numStyleLink w:val="H2Restart"/>
  </w:abstractNum>
  <w:abstractNum w:abstractNumId="37" w15:restartNumberingAfterBreak="0">
    <w:nsid w:val="685D76CD"/>
    <w:multiLevelType w:val="multilevel"/>
    <w:tmpl w:val="CD96871E"/>
    <w:numStyleLink w:val="H2Restart"/>
  </w:abstractNum>
  <w:abstractNum w:abstractNumId="38"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2FC6D80"/>
    <w:multiLevelType w:val="multilevel"/>
    <w:tmpl w:val="CD96871E"/>
    <w:numStyleLink w:val="H2Restart"/>
  </w:abstractNum>
  <w:num w:numId="1" w16cid:durableId="146632016">
    <w:abstractNumId w:val="0"/>
  </w:num>
  <w:num w:numId="2" w16cid:durableId="2139685392">
    <w:abstractNumId w:val="11"/>
  </w:num>
  <w:num w:numId="3" w16cid:durableId="1730304559">
    <w:abstractNumId w:val="21"/>
  </w:num>
  <w:num w:numId="4" w16cid:durableId="1904947642">
    <w:abstractNumId w:val="17"/>
  </w:num>
  <w:num w:numId="5" w16cid:durableId="2086564019">
    <w:abstractNumId w:val="34"/>
  </w:num>
  <w:num w:numId="6" w16cid:durableId="1720010044">
    <w:abstractNumId w:val="23"/>
  </w:num>
  <w:num w:numId="7" w16cid:durableId="1589195024">
    <w:abstractNumId w:val="9"/>
  </w:num>
  <w:num w:numId="8" w16cid:durableId="1483892291">
    <w:abstractNumId w:val="13"/>
  </w:num>
  <w:num w:numId="9" w16cid:durableId="572131377">
    <w:abstractNumId w:val="28"/>
  </w:num>
  <w:num w:numId="10" w16cid:durableId="282537363">
    <w:abstractNumId w:val="6"/>
  </w:num>
  <w:num w:numId="11" w16cid:durableId="653067656">
    <w:abstractNumId w:val="33"/>
  </w:num>
  <w:num w:numId="12" w16cid:durableId="255796949">
    <w:abstractNumId w:val="29"/>
  </w:num>
  <w:num w:numId="13" w16cid:durableId="511922190">
    <w:abstractNumId w:val="4"/>
  </w:num>
  <w:num w:numId="14" w16cid:durableId="1166827748">
    <w:abstractNumId w:val="5"/>
    <w:lvlOverride w:ilvl="0">
      <w:lvl w:ilvl="0">
        <w:start w:val="1"/>
        <w:numFmt w:val="upperLetter"/>
        <w:suff w:val="space"/>
        <w:lvlText w:val="%1."/>
        <w:lvlJc w:val="left"/>
        <w:pPr>
          <w:ind w:left="0" w:firstLine="0"/>
        </w:pPr>
        <w:rPr>
          <w:rFonts w:hint="default"/>
        </w:rPr>
      </w:lvl>
    </w:lvlOverride>
  </w:num>
  <w:num w:numId="15" w16cid:durableId="1487938667">
    <w:abstractNumId w:val="12"/>
  </w:num>
  <w:num w:numId="16" w16cid:durableId="1982534741">
    <w:abstractNumId w:val="26"/>
  </w:num>
  <w:num w:numId="17" w16cid:durableId="139330846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5729568">
    <w:abstractNumId w:val="38"/>
  </w:num>
  <w:num w:numId="19" w16cid:durableId="269047845">
    <w:abstractNumId w:val="3"/>
  </w:num>
  <w:num w:numId="20" w16cid:durableId="909580657">
    <w:abstractNumId w:val="2"/>
  </w:num>
  <w:num w:numId="21" w16cid:durableId="373579168">
    <w:abstractNumId w:val="24"/>
  </w:num>
  <w:num w:numId="22" w16cid:durableId="1745251843">
    <w:abstractNumId w:val="8"/>
  </w:num>
  <w:num w:numId="23" w16cid:durableId="2111774571">
    <w:abstractNumId w:val="16"/>
  </w:num>
  <w:num w:numId="24" w16cid:durableId="143159150">
    <w:abstractNumId w:val="36"/>
  </w:num>
  <w:num w:numId="25" w16cid:durableId="1312634794">
    <w:abstractNumId w:val="27"/>
  </w:num>
  <w:num w:numId="26" w16cid:durableId="237444995">
    <w:abstractNumId w:val="32"/>
  </w:num>
  <w:num w:numId="27" w16cid:durableId="376199287">
    <w:abstractNumId w:val="18"/>
  </w:num>
  <w:num w:numId="28" w16cid:durableId="1079518982">
    <w:abstractNumId w:val="25"/>
  </w:num>
  <w:num w:numId="29" w16cid:durableId="1536120966">
    <w:abstractNumId w:val="39"/>
  </w:num>
  <w:num w:numId="30" w16cid:durableId="1012683639">
    <w:abstractNumId w:val="10"/>
  </w:num>
  <w:num w:numId="31" w16cid:durableId="581259744">
    <w:abstractNumId w:val="37"/>
  </w:num>
  <w:num w:numId="32" w16cid:durableId="550194706">
    <w:abstractNumId w:val="19"/>
  </w:num>
  <w:num w:numId="33" w16cid:durableId="986592793">
    <w:abstractNumId w:val="35"/>
  </w:num>
  <w:num w:numId="34" w16cid:durableId="131562090">
    <w:abstractNumId w:val="30"/>
  </w:num>
  <w:num w:numId="35" w16cid:durableId="215555830">
    <w:abstractNumId w:val="22"/>
  </w:num>
  <w:num w:numId="36" w16cid:durableId="752821514">
    <w:abstractNumId w:val="14"/>
  </w:num>
  <w:num w:numId="37" w16cid:durableId="102464003">
    <w:abstractNumId w:val="20"/>
  </w:num>
  <w:num w:numId="38" w16cid:durableId="26297219">
    <w:abstractNumId w:val="15"/>
  </w:num>
  <w:num w:numId="39" w16cid:durableId="631059541">
    <w:abstractNumId w:val="7"/>
  </w:num>
  <w:num w:numId="40" w16cid:durableId="462891185">
    <w:abstractNumId w:val="1"/>
  </w:num>
  <w:num w:numId="41" w16cid:durableId="964313124">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77785744">
    <w:abstractNumId w:val="3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1006"/>
    <w:rsid w:val="00002951"/>
    <w:rsid w:val="00015E73"/>
    <w:rsid w:val="00015E9A"/>
    <w:rsid w:val="0001799E"/>
    <w:rsid w:val="00017C56"/>
    <w:rsid w:val="00021C67"/>
    <w:rsid w:val="00023D75"/>
    <w:rsid w:val="00024A01"/>
    <w:rsid w:val="00027AA1"/>
    <w:rsid w:val="0003250B"/>
    <w:rsid w:val="0003253A"/>
    <w:rsid w:val="00033D56"/>
    <w:rsid w:val="00034A7F"/>
    <w:rsid w:val="00035315"/>
    <w:rsid w:val="00040C78"/>
    <w:rsid w:val="00041819"/>
    <w:rsid w:val="00043A88"/>
    <w:rsid w:val="000518DD"/>
    <w:rsid w:val="00052666"/>
    <w:rsid w:val="00052968"/>
    <w:rsid w:val="00057E9A"/>
    <w:rsid w:val="00060D60"/>
    <w:rsid w:val="00061511"/>
    <w:rsid w:val="00061B24"/>
    <w:rsid w:val="00065CD5"/>
    <w:rsid w:val="00067C21"/>
    <w:rsid w:val="00070737"/>
    <w:rsid w:val="000714C3"/>
    <w:rsid w:val="00071D5E"/>
    <w:rsid w:val="00076966"/>
    <w:rsid w:val="00083EC4"/>
    <w:rsid w:val="000844AB"/>
    <w:rsid w:val="00084BD2"/>
    <w:rsid w:val="00090D81"/>
    <w:rsid w:val="00090E84"/>
    <w:rsid w:val="0009131B"/>
    <w:rsid w:val="00091F92"/>
    <w:rsid w:val="00092C74"/>
    <w:rsid w:val="00094BAA"/>
    <w:rsid w:val="000A1FA2"/>
    <w:rsid w:val="000A3B16"/>
    <w:rsid w:val="000A40E6"/>
    <w:rsid w:val="000B2C18"/>
    <w:rsid w:val="000B330B"/>
    <w:rsid w:val="000B7135"/>
    <w:rsid w:val="000C01F4"/>
    <w:rsid w:val="000C09C8"/>
    <w:rsid w:val="000C0E3B"/>
    <w:rsid w:val="000C221B"/>
    <w:rsid w:val="000C426E"/>
    <w:rsid w:val="000D3A5A"/>
    <w:rsid w:val="000D4A20"/>
    <w:rsid w:val="000D6320"/>
    <w:rsid w:val="000E4447"/>
    <w:rsid w:val="000F25D7"/>
    <w:rsid w:val="000F33CB"/>
    <w:rsid w:val="000F5003"/>
    <w:rsid w:val="0010090B"/>
    <w:rsid w:val="00104663"/>
    <w:rsid w:val="00104CB0"/>
    <w:rsid w:val="00105925"/>
    <w:rsid w:val="00107070"/>
    <w:rsid w:val="001072E6"/>
    <w:rsid w:val="001120C4"/>
    <w:rsid w:val="0011425D"/>
    <w:rsid w:val="001146BF"/>
    <w:rsid w:val="0011479C"/>
    <w:rsid w:val="00114A56"/>
    <w:rsid w:val="00117D9A"/>
    <w:rsid w:val="00121CF0"/>
    <w:rsid w:val="00121E38"/>
    <w:rsid w:val="001316F6"/>
    <w:rsid w:val="00134A06"/>
    <w:rsid w:val="0014000F"/>
    <w:rsid w:val="0014141F"/>
    <w:rsid w:val="00141D98"/>
    <w:rsid w:val="00144E81"/>
    <w:rsid w:val="00151703"/>
    <w:rsid w:val="0016308D"/>
    <w:rsid w:val="00164873"/>
    <w:rsid w:val="00165F70"/>
    <w:rsid w:val="001661D9"/>
    <w:rsid w:val="00166BEA"/>
    <w:rsid w:val="00170818"/>
    <w:rsid w:val="0017288F"/>
    <w:rsid w:val="00174020"/>
    <w:rsid w:val="00174D84"/>
    <w:rsid w:val="00176753"/>
    <w:rsid w:val="001777E5"/>
    <w:rsid w:val="00182839"/>
    <w:rsid w:val="00185AFE"/>
    <w:rsid w:val="00186F4C"/>
    <w:rsid w:val="0019262C"/>
    <w:rsid w:val="001955E9"/>
    <w:rsid w:val="0019723F"/>
    <w:rsid w:val="001A4A79"/>
    <w:rsid w:val="001A773F"/>
    <w:rsid w:val="001A7827"/>
    <w:rsid w:val="001B1B9C"/>
    <w:rsid w:val="001B2F14"/>
    <w:rsid w:val="001B4688"/>
    <w:rsid w:val="001C2E5E"/>
    <w:rsid w:val="001C3B16"/>
    <w:rsid w:val="001C495F"/>
    <w:rsid w:val="001C597C"/>
    <w:rsid w:val="001D0247"/>
    <w:rsid w:val="001D3924"/>
    <w:rsid w:val="001D3AED"/>
    <w:rsid w:val="001D4C0D"/>
    <w:rsid w:val="001D5027"/>
    <w:rsid w:val="001D5163"/>
    <w:rsid w:val="001D5407"/>
    <w:rsid w:val="001D6F48"/>
    <w:rsid w:val="001E3E87"/>
    <w:rsid w:val="001E4083"/>
    <w:rsid w:val="001E4698"/>
    <w:rsid w:val="001E69B5"/>
    <w:rsid w:val="001E6A66"/>
    <w:rsid w:val="001E6CFA"/>
    <w:rsid w:val="001F0601"/>
    <w:rsid w:val="001F4FA0"/>
    <w:rsid w:val="001F73C8"/>
    <w:rsid w:val="00200B38"/>
    <w:rsid w:val="00201A76"/>
    <w:rsid w:val="002025F9"/>
    <w:rsid w:val="00205C43"/>
    <w:rsid w:val="00207411"/>
    <w:rsid w:val="00210142"/>
    <w:rsid w:val="00210E41"/>
    <w:rsid w:val="00211824"/>
    <w:rsid w:val="002141C8"/>
    <w:rsid w:val="00215F8D"/>
    <w:rsid w:val="002170E6"/>
    <w:rsid w:val="00220965"/>
    <w:rsid w:val="00223B9B"/>
    <w:rsid w:val="00227DAA"/>
    <w:rsid w:val="00231E14"/>
    <w:rsid w:val="00241628"/>
    <w:rsid w:val="00242C14"/>
    <w:rsid w:val="002467D5"/>
    <w:rsid w:val="00252416"/>
    <w:rsid w:val="00253CFC"/>
    <w:rsid w:val="002560D8"/>
    <w:rsid w:val="002633DB"/>
    <w:rsid w:val="0026796B"/>
    <w:rsid w:val="00275282"/>
    <w:rsid w:val="0028303E"/>
    <w:rsid w:val="00284674"/>
    <w:rsid w:val="00285B40"/>
    <w:rsid w:val="00285DD4"/>
    <w:rsid w:val="00293D7A"/>
    <w:rsid w:val="00295093"/>
    <w:rsid w:val="002967D4"/>
    <w:rsid w:val="002969CB"/>
    <w:rsid w:val="002A000F"/>
    <w:rsid w:val="002A048A"/>
    <w:rsid w:val="002A14BA"/>
    <w:rsid w:val="002A24AD"/>
    <w:rsid w:val="002A3234"/>
    <w:rsid w:val="002A4118"/>
    <w:rsid w:val="002A486E"/>
    <w:rsid w:val="002A529C"/>
    <w:rsid w:val="002B0C37"/>
    <w:rsid w:val="002B17AE"/>
    <w:rsid w:val="002B197E"/>
    <w:rsid w:val="002B379B"/>
    <w:rsid w:val="002B5DFD"/>
    <w:rsid w:val="002B62BC"/>
    <w:rsid w:val="002B7F19"/>
    <w:rsid w:val="002C2CCF"/>
    <w:rsid w:val="002C419A"/>
    <w:rsid w:val="002C707C"/>
    <w:rsid w:val="002D11FD"/>
    <w:rsid w:val="002D26B0"/>
    <w:rsid w:val="002D3E91"/>
    <w:rsid w:val="002D4A44"/>
    <w:rsid w:val="002D54D7"/>
    <w:rsid w:val="002D7313"/>
    <w:rsid w:val="002E02B1"/>
    <w:rsid w:val="002E396B"/>
    <w:rsid w:val="002E3D2C"/>
    <w:rsid w:val="002F1879"/>
    <w:rsid w:val="002F1D45"/>
    <w:rsid w:val="002F3420"/>
    <w:rsid w:val="002F42B2"/>
    <w:rsid w:val="002F63A1"/>
    <w:rsid w:val="003036BA"/>
    <w:rsid w:val="00304392"/>
    <w:rsid w:val="0030758F"/>
    <w:rsid w:val="00313105"/>
    <w:rsid w:val="003141B6"/>
    <w:rsid w:val="003146F4"/>
    <w:rsid w:val="00321775"/>
    <w:rsid w:val="00321EB5"/>
    <w:rsid w:val="00322DAA"/>
    <w:rsid w:val="00323E56"/>
    <w:rsid w:val="00327067"/>
    <w:rsid w:val="00327078"/>
    <w:rsid w:val="00330A48"/>
    <w:rsid w:val="00332A2D"/>
    <w:rsid w:val="0033583E"/>
    <w:rsid w:val="00336145"/>
    <w:rsid w:val="0034128C"/>
    <w:rsid w:val="003412F9"/>
    <w:rsid w:val="003415A6"/>
    <w:rsid w:val="00344CE5"/>
    <w:rsid w:val="003469D0"/>
    <w:rsid w:val="003504E9"/>
    <w:rsid w:val="003519F1"/>
    <w:rsid w:val="00351EDC"/>
    <w:rsid w:val="003520A4"/>
    <w:rsid w:val="00353818"/>
    <w:rsid w:val="003541F4"/>
    <w:rsid w:val="00355460"/>
    <w:rsid w:val="0035702D"/>
    <w:rsid w:val="00360535"/>
    <w:rsid w:val="003628EB"/>
    <w:rsid w:val="0036342D"/>
    <w:rsid w:val="00363602"/>
    <w:rsid w:val="003639EB"/>
    <w:rsid w:val="00364197"/>
    <w:rsid w:val="00373A9F"/>
    <w:rsid w:val="003756EB"/>
    <w:rsid w:val="003763CB"/>
    <w:rsid w:val="00380D62"/>
    <w:rsid w:val="00381001"/>
    <w:rsid w:val="0038145D"/>
    <w:rsid w:val="00382E5B"/>
    <w:rsid w:val="00383853"/>
    <w:rsid w:val="00384980"/>
    <w:rsid w:val="003874CB"/>
    <w:rsid w:val="00390B86"/>
    <w:rsid w:val="00391E44"/>
    <w:rsid w:val="00393CE8"/>
    <w:rsid w:val="003940D4"/>
    <w:rsid w:val="003A0AEE"/>
    <w:rsid w:val="003A5252"/>
    <w:rsid w:val="003A7420"/>
    <w:rsid w:val="003A75E8"/>
    <w:rsid w:val="003B2723"/>
    <w:rsid w:val="003B3AC6"/>
    <w:rsid w:val="003B3FFE"/>
    <w:rsid w:val="003C1744"/>
    <w:rsid w:val="003C615D"/>
    <w:rsid w:val="003D112E"/>
    <w:rsid w:val="003D12A0"/>
    <w:rsid w:val="003D1A98"/>
    <w:rsid w:val="003D37D6"/>
    <w:rsid w:val="003D3FE2"/>
    <w:rsid w:val="003D4E93"/>
    <w:rsid w:val="003D640F"/>
    <w:rsid w:val="003D7316"/>
    <w:rsid w:val="003D7D09"/>
    <w:rsid w:val="003E17F3"/>
    <w:rsid w:val="003F7D7E"/>
    <w:rsid w:val="00402953"/>
    <w:rsid w:val="00410A00"/>
    <w:rsid w:val="0041108E"/>
    <w:rsid w:val="0041189C"/>
    <w:rsid w:val="004127AE"/>
    <w:rsid w:val="0041399D"/>
    <w:rsid w:val="00416591"/>
    <w:rsid w:val="00416D80"/>
    <w:rsid w:val="00417315"/>
    <w:rsid w:val="00420CA6"/>
    <w:rsid w:val="00422716"/>
    <w:rsid w:val="004360DF"/>
    <w:rsid w:val="00440B9E"/>
    <w:rsid w:val="004423FC"/>
    <w:rsid w:val="0044242A"/>
    <w:rsid w:val="00442439"/>
    <w:rsid w:val="00442B34"/>
    <w:rsid w:val="00443AB2"/>
    <w:rsid w:val="00444E10"/>
    <w:rsid w:val="004462AC"/>
    <w:rsid w:val="0044635D"/>
    <w:rsid w:val="00446720"/>
    <w:rsid w:val="004511F5"/>
    <w:rsid w:val="004570C8"/>
    <w:rsid w:val="00457310"/>
    <w:rsid w:val="00457471"/>
    <w:rsid w:val="0045757E"/>
    <w:rsid w:val="00460D49"/>
    <w:rsid w:val="004642B5"/>
    <w:rsid w:val="00465AB7"/>
    <w:rsid w:val="00465CAE"/>
    <w:rsid w:val="004701DE"/>
    <w:rsid w:val="004702C9"/>
    <w:rsid w:val="00472E27"/>
    <w:rsid w:val="004772EC"/>
    <w:rsid w:val="00477BF4"/>
    <w:rsid w:val="004811E6"/>
    <w:rsid w:val="00482836"/>
    <w:rsid w:val="00482EE5"/>
    <w:rsid w:val="00483326"/>
    <w:rsid w:val="00486D54"/>
    <w:rsid w:val="00486E60"/>
    <w:rsid w:val="00491213"/>
    <w:rsid w:val="0049327F"/>
    <w:rsid w:val="00493B58"/>
    <w:rsid w:val="0049433A"/>
    <w:rsid w:val="004949B8"/>
    <w:rsid w:val="004A0234"/>
    <w:rsid w:val="004A11FE"/>
    <w:rsid w:val="004A465D"/>
    <w:rsid w:val="004A6349"/>
    <w:rsid w:val="004A7ADD"/>
    <w:rsid w:val="004B30CA"/>
    <w:rsid w:val="004B7C73"/>
    <w:rsid w:val="004C1DD3"/>
    <w:rsid w:val="004C23B8"/>
    <w:rsid w:val="004C41FA"/>
    <w:rsid w:val="004C6BFB"/>
    <w:rsid w:val="004D0892"/>
    <w:rsid w:val="004D0B9B"/>
    <w:rsid w:val="004D0E4A"/>
    <w:rsid w:val="004D67B3"/>
    <w:rsid w:val="004F105E"/>
    <w:rsid w:val="004F2C2F"/>
    <w:rsid w:val="004F6E39"/>
    <w:rsid w:val="004F7211"/>
    <w:rsid w:val="00500D8B"/>
    <w:rsid w:val="00502AFF"/>
    <w:rsid w:val="00504A78"/>
    <w:rsid w:val="00505244"/>
    <w:rsid w:val="00505C65"/>
    <w:rsid w:val="00506758"/>
    <w:rsid w:val="00510D59"/>
    <w:rsid w:val="005151B5"/>
    <w:rsid w:val="00517856"/>
    <w:rsid w:val="005206B2"/>
    <w:rsid w:val="00520DF1"/>
    <w:rsid w:val="00523407"/>
    <w:rsid w:val="00523A05"/>
    <w:rsid w:val="00525891"/>
    <w:rsid w:val="0052668A"/>
    <w:rsid w:val="00527F31"/>
    <w:rsid w:val="0053363E"/>
    <w:rsid w:val="005336C5"/>
    <w:rsid w:val="005376CB"/>
    <w:rsid w:val="00540BCE"/>
    <w:rsid w:val="005411C5"/>
    <w:rsid w:val="00541F28"/>
    <w:rsid w:val="0054241F"/>
    <w:rsid w:val="0054746D"/>
    <w:rsid w:val="00551F45"/>
    <w:rsid w:val="00555F01"/>
    <w:rsid w:val="0055767F"/>
    <w:rsid w:val="00564E0C"/>
    <w:rsid w:val="00565A4C"/>
    <w:rsid w:val="00566CE5"/>
    <w:rsid w:val="00570D65"/>
    <w:rsid w:val="005722AA"/>
    <w:rsid w:val="005762F3"/>
    <w:rsid w:val="00577FB4"/>
    <w:rsid w:val="00581E03"/>
    <w:rsid w:val="00583985"/>
    <w:rsid w:val="005842B4"/>
    <w:rsid w:val="00587CF1"/>
    <w:rsid w:val="005902A9"/>
    <w:rsid w:val="0059062E"/>
    <w:rsid w:val="00590A10"/>
    <w:rsid w:val="0059297F"/>
    <w:rsid w:val="00593176"/>
    <w:rsid w:val="00594006"/>
    <w:rsid w:val="00594D78"/>
    <w:rsid w:val="00594F41"/>
    <w:rsid w:val="00596126"/>
    <w:rsid w:val="005A11DA"/>
    <w:rsid w:val="005A59C2"/>
    <w:rsid w:val="005A5B4F"/>
    <w:rsid w:val="005A6FCB"/>
    <w:rsid w:val="005A7F6C"/>
    <w:rsid w:val="005B0961"/>
    <w:rsid w:val="005B16F4"/>
    <w:rsid w:val="005B186D"/>
    <w:rsid w:val="005B3311"/>
    <w:rsid w:val="005B62EC"/>
    <w:rsid w:val="005C047E"/>
    <w:rsid w:val="005C11FA"/>
    <w:rsid w:val="005C261D"/>
    <w:rsid w:val="005C3781"/>
    <w:rsid w:val="005C3955"/>
    <w:rsid w:val="005C5095"/>
    <w:rsid w:val="005C6411"/>
    <w:rsid w:val="005C7DF8"/>
    <w:rsid w:val="005D0EDF"/>
    <w:rsid w:val="005D3ACC"/>
    <w:rsid w:val="005D6B46"/>
    <w:rsid w:val="005D6C52"/>
    <w:rsid w:val="005E0BAE"/>
    <w:rsid w:val="005E0E65"/>
    <w:rsid w:val="005E1970"/>
    <w:rsid w:val="005E36FF"/>
    <w:rsid w:val="005E5941"/>
    <w:rsid w:val="005F14FC"/>
    <w:rsid w:val="005F2A4C"/>
    <w:rsid w:val="005F36BF"/>
    <w:rsid w:val="005F7D12"/>
    <w:rsid w:val="00601262"/>
    <w:rsid w:val="00604D84"/>
    <w:rsid w:val="00607722"/>
    <w:rsid w:val="006129FD"/>
    <w:rsid w:val="00616EC7"/>
    <w:rsid w:val="0062116B"/>
    <w:rsid w:val="00622CC0"/>
    <w:rsid w:val="0062439C"/>
    <w:rsid w:val="0062501A"/>
    <w:rsid w:val="006259D1"/>
    <w:rsid w:val="0063180F"/>
    <w:rsid w:val="00631923"/>
    <w:rsid w:val="00632C12"/>
    <w:rsid w:val="0063306E"/>
    <w:rsid w:val="00643136"/>
    <w:rsid w:val="0064321C"/>
    <w:rsid w:val="006452AD"/>
    <w:rsid w:val="00647B74"/>
    <w:rsid w:val="00650847"/>
    <w:rsid w:val="00650AC5"/>
    <w:rsid w:val="00652438"/>
    <w:rsid w:val="00653552"/>
    <w:rsid w:val="00654C7D"/>
    <w:rsid w:val="0065507F"/>
    <w:rsid w:val="0065710F"/>
    <w:rsid w:val="00660B10"/>
    <w:rsid w:val="006621CC"/>
    <w:rsid w:val="00663B0C"/>
    <w:rsid w:val="00670377"/>
    <w:rsid w:val="006772E7"/>
    <w:rsid w:val="006777B9"/>
    <w:rsid w:val="00680E60"/>
    <w:rsid w:val="00681461"/>
    <w:rsid w:val="006817D9"/>
    <w:rsid w:val="006821E9"/>
    <w:rsid w:val="006831DC"/>
    <w:rsid w:val="00687034"/>
    <w:rsid w:val="006873AA"/>
    <w:rsid w:val="006874AA"/>
    <w:rsid w:val="006920B0"/>
    <w:rsid w:val="00692183"/>
    <w:rsid w:val="00692480"/>
    <w:rsid w:val="006932A5"/>
    <w:rsid w:val="006934C7"/>
    <w:rsid w:val="00697787"/>
    <w:rsid w:val="006A0B53"/>
    <w:rsid w:val="006A0DAB"/>
    <w:rsid w:val="006A190F"/>
    <w:rsid w:val="006A2937"/>
    <w:rsid w:val="006A3523"/>
    <w:rsid w:val="006B0525"/>
    <w:rsid w:val="006B24AE"/>
    <w:rsid w:val="006B6C9F"/>
    <w:rsid w:val="006C2A2F"/>
    <w:rsid w:val="006C550F"/>
    <w:rsid w:val="006C599B"/>
    <w:rsid w:val="006C69B6"/>
    <w:rsid w:val="006D02FC"/>
    <w:rsid w:val="006D096B"/>
    <w:rsid w:val="006D2F5B"/>
    <w:rsid w:val="006D31AB"/>
    <w:rsid w:val="006D446E"/>
    <w:rsid w:val="006D4A1A"/>
    <w:rsid w:val="006D5343"/>
    <w:rsid w:val="006D6A18"/>
    <w:rsid w:val="006D6BB5"/>
    <w:rsid w:val="006D7BFC"/>
    <w:rsid w:val="006E3B17"/>
    <w:rsid w:val="006F6C87"/>
    <w:rsid w:val="006F6F42"/>
    <w:rsid w:val="0070502C"/>
    <w:rsid w:val="007074FD"/>
    <w:rsid w:val="0070798C"/>
    <w:rsid w:val="00715990"/>
    <w:rsid w:val="0071635C"/>
    <w:rsid w:val="00720592"/>
    <w:rsid w:val="00721E50"/>
    <w:rsid w:val="00722E0A"/>
    <w:rsid w:val="00722FB0"/>
    <w:rsid w:val="00723860"/>
    <w:rsid w:val="007250AC"/>
    <w:rsid w:val="007268F5"/>
    <w:rsid w:val="00731485"/>
    <w:rsid w:val="00731792"/>
    <w:rsid w:val="00732067"/>
    <w:rsid w:val="0074265D"/>
    <w:rsid w:val="00742C4F"/>
    <w:rsid w:val="0074666A"/>
    <w:rsid w:val="007472D6"/>
    <w:rsid w:val="00753AD5"/>
    <w:rsid w:val="00754771"/>
    <w:rsid w:val="007573E5"/>
    <w:rsid w:val="00762309"/>
    <w:rsid w:val="00765478"/>
    <w:rsid w:val="00765EFC"/>
    <w:rsid w:val="00766175"/>
    <w:rsid w:val="00767D54"/>
    <w:rsid w:val="00777554"/>
    <w:rsid w:val="00777FC6"/>
    <w:rsid w:val="0078331C"/>
    <w:rsid w:val="00785008"/>
    <w:rsid w:val="00786FBC"/>
    <w:rsid w:val="007908A3"/>
    <w:rsid w:val="00791AA8"/>
    <w:rsid w:val="00791FC4"/>
    <w:rsid w:val="007922D4"/>
    <w:rsid w:val="00795E68"/>
    <w:rsid w:val="00796645"/>
    <w:rsid w:val="00797CC2"/>
    <w:rsid w:val="00797D6C"/>
    <w:rsid w:val="007A1AE0"/>
    <w:rsid w:val="007A3BCE"/>
    <w:rsid w:val="007A706D"/>
    <w:rsid w:val="007A73F6"/>
    <w:rsid w:val="007B0961"/>
    <w:rsid w:val="007B2C20"/>
    <w:rsid w:val="007B42EE"/>
    <w:rsid w:val="007C4B89"/>
    <w:rsid w:val="007C6BED"/>
    <w:rsid w:val="007D55B1"/>
    <w:rsid w:val="007D57A8"/>
    <w:rsid w:val="007D73E9"/>
    <w:rsid w:val="007E0556"/>
    <w:rsid w:val="007E1456"/>
    <w:rsid w:val="007E17FA"/>
    <w:rsid w:val="007E44F5"/>
    <w:rsid w:val="007E4ED6"/>
    <w:rsid w:val="007E56C6"/>
    <w:rsid w:val="007F0C04"/>
    <w:rsid w:val="007F2F1F"/>
    <w:rsid w:val="007F46D2"/>
    <w:rsid w:val="007F4EC6"/>
    <w:rsid w:val="007F7FD1"/>
    <w:rsid w:val="00800B09"/>
    <w:rsid w:val="0080221D"/>
    <w:rsid w:val="00802FF6"/>
    <w:rsid w:val="00803F2B"/>
    <w:rsid w:val="008041BD"/>
    <w:rsid w:val="008053A6"/>
    <w:rsid w:val="00805B41"/>
    <w:rsid w:val="008105D3"/>
    <w:rsid w:val="00814D2E"/>
    <w:rsid w:val="008158A3"/>
    <w:rsid w:val="008166F7"/>
    <w:rsid w:val="008208C7"/>
    <w:rsid w:val="00825012"/>
    <w:rsid w:val="008310FF"/>
    <w:rsid w:val="00833C2D"/>
    <w:rsid w:val="008379B1"/>
    <w:rsid w:val="0084556B"/>
    <w:rsid w:val="0084716E"/>
    <w:rsid w:val="00853B01"/>
    <w:rsid w:val="00853F30"/>
    <w:rsid w:val="008540B3"/>
    <w:rsid w:val="0085574D"/>
    <w:rsid w:val="00855E21"/>
    <w:rsid w:val="00856CFF"/>
    <w:rsid w:val="0086016B"/>
    <w:rsid w:val="00860963"/>
    <w:rsid w:val="008612B0"/>
    <w:rsid w:val="008637A0"/>
    <w:rsid w:val="00864000"/>
    <w:rsid w:val="00864EFE"/>
    <w:rsid w:val="00865D5B"/>
    <w:rsid w:val="0086631A"/>
    <w:rsid w:val="0086796B"/>
    <w:rsid w:val="008757F8"/>
    <w:rsid w:val="008773E5"/>
    <w:rsid w:val="00881AEC"/>
    <w:rsid w:val="00884341"/>
    <w:rsid w:val="00884362"/>
    <w:rsid w:val="00887535"/>
    <w:rsid w:val="00887BB0"/>
    <w:rsid w:val="0089022F"/>
    <w:rsid w:val="008A05F2"/>
    <w:rsid w:val="008A240F"/>
    <w:rsid w:val="008B116A"/>
    <w:rsid w:val="008B2BCE"/>
    <w:rsid w:val="008B46A7"/>
    <w:rsid w:val="008B5F7B"/>
    <w:rsid w:val="008B7348"/>
    <w:rsid w:val="008C075C"/>
    <w:rsid w:val="008C093B"/>
    <w:rsid w:val="008C4341"/>
    <w:rsid w:val="008C5AA7"/>
    <w:rsid w:val="008C6D05"/>
    <w:rsid w:val="008D1510"/>
    <w:rsid w:val="008D384B"/>
    <w:rsid w:val="008D3922"/>
    <w:rsid w:val="008D44E3"/>
    <w:rsid w:val="008D4E58"/>
    <w:rsid w:val="008D7A2F"/>
    <w:rsid w:val="008E2ED6"/>
    <w:rsid w:val="008E4786"/>
    <w:rsid w:val="008E5D55"/>
    <w:rsid w:val="008F26AD"/>
    <w:rsid w:val="008F2E64"/>
    <w:rsid w:val="008F2FB3"/>
    <w:rsid w:val="008F4B39"/>
    <w:rsid w:val="008F78D5"/>
    <w:rsid w:val="00902F55"/>
    <w:rsid w:val="0090470C"/>
    <w:rsid w:val="00906198"/>
    <w:rsid w:val="00910718"/>
    <w:rsid w:val="009116B8"/>
    <w:rsid w:val="00911CA6"/>
    <w:rsid w:val="00916FEB"/>
    <w:rsid w:val="009170D7"/>
    <w:rsid w:val="0091745E"/>
    <w:rsid w:val="009233F5"/>
    <w:rsid w:val="00924109"/>
    <w:rsid w:val="009261C4"/>
    <w:rsid w:val="00926D5C"/>
    <w:rsid w:val="00930956"/>
    <w:rsid w:val="009360D1"/>
    <w:rsid w:val="009364DE"/>
    <w:rsid w:val="00947BF1"/>
    <w:rsid w:val="0095097F"/>
    <w:rsid w:val="00950F2C"/>
    <w:rsid w:val="009512A7"/>
    <w:rsid w:val="009543EE"/>
    <w:rsid w:val="00967F32"/>
    <w:rsid w:val="009702DE"/>
    <w:rsid w:val="00971B64"/>
    <w:rsid w:val="00973331"/>
    <w:rsid w:val="00974712"/>
    <w:rsid w:val="00976266"/>
    <w:rsid w:val="00977BEF"/>
    <w:rsid w:val="0098218D"/>
    <w:rsid w:val="00990E54"/>
    <w:rsid w:val="00990F3D"/>
    <w:rsid w:val="00996B36"/>
    <w:rsid w:val="009A239C"/>
    <w:rsid w:val="009A3976"/>
    <w:rsid w:val="009A3AAF"/>
    <w:rsid w:val="009A3EAE"/>
    <w:rsid w:val="009A4956"/>
    <w:rsid w:val="009A6156"/>
    <w:rsid w:val="009A7747"/>
    <w:rsid w:val="009A7DCC"/>
    <w:rsid w:val="009A7E35"/>
    <w:rsid w:val="009B0652"/>
    <w:rsid w:val="009B23BA"/>
    <w:rsid w:val="009B271F"/>
    <w:rsid w:val="009B2AEC"/>
    <w:rsid w:val="009B2C68"/>
    <w:rsid w:val="009B6ADC"/>
    <w:rsid w:val="009C1BFF"/>
    <w:rsid w:val="009C4DE4"/>
    <w:rsid w:val="009C79C4"/>
    <w:rsid w:val="009D219C"/>
    <w:rsid w:val="009D22F8"/>
    <w:rsid w:val="009D2CDF"/>
    <w:rsid w:val="009D3510"/>
    <w:rsid w:val="009D72AA"/>
    <w:rsid w:val="009E393C"/>
    <w:rsid w:val="009E6008"/>
    <w:rsid w:val="009E6385"/>
    <w:rsid w:val="009E6EE9"/>
    <w:rsid w:val="009F0268"/>
    <w:rsid w:val="009F1F2E"/>
    <w:rsid w:val="009F4313"/>
    <w:rsid w:val="009F494B"/>
    <w:rsid w:val="00A009EA"/>
    <w:rsid w:val="00A06892"/>
    <w:rsid w:val="00A07761"/>
    <w:rsid w:val="00A12D02"/>
    <w:rsid w:val="00A139C5"/>
    <w:rsid w:val="00A17980"/>
    <w:rsid w:val="00A21E33"/>
    <w:rsid w:val="00A21E81"/>
    <w:rsid w:val="00A25047"/>
    <w:rsid w:val="00A30934"/>
    <w:rsid w:val="00A33184"/>
    <w:rsid w:val="00A33C56"/>
    <w:rsid w:val="00A36342"/>
    <w:rsid w:val="00A4099B"/>
    <w:rsid w:val="00A42896"/>
    <w:rsid w:val="00A43179"/>
    <w:rsid w:val="00A45310"/>
    <w:rsid w:val="00A4771A"/>
    <w:rsid w:val="00A50D78"/>
    <w:rsid w:val="00A52005"/>
    <w:rsid w:val="00A53223"/>
    <w:rsid w:val="00A57BE7"/>
    <w:rsid w:val="00A611EE"/>
    <w:rsid w:val="00A6545C"/>
    <w:rsid w:val="00A6563F"/>
    <w:rsid w:val="00A66CCA"/>
    <w:rsid w:val="00A67F48"/>
    <w:rsid w:val="00A704D5"/>
    <w:rsid w:val="00A70752"/>
    <w:rsid w:val="00A7774E"/>
    <w:rsid w:val="00A8467A"/>
    <w:rsid w:val="00A86C97"/>
    <w:rsid w:val="00A86DE0"/>
    <w:rsid w:val="00A86E28"/>
    <w:rsid w:val="00A92AC5"/>
    <w:rsid w:val="00A93E28"/>
    <w:rsid w:val="00AA6824"/>
    <w:rsid w:val="00AA701D"/>
    <w:rsid w:val="00AB4207"/>
    <w:rsid w:val="00AC2B6A"/>
    <w:rsid w:val="00AD0FD6"/>
    <w:rsid w:val="00AD7994"/>
    <w:rsid w:val="00AE0A20"/>
    <w:rsid w:val="00AE31C7"/>
    <w:rsid w:val="00AE3911"/>
    <w:rsid w:val="00AE3DD9"/>
    <w:rsid w:val="00AE709A"/>
    <w:rsid w:val="00AE784D"/>
    <w:rsid w:val="00AF7E75"/>
    <w:rsid w:val="00B005D4"/>
    <w:rsid w:val="00B00868"/>
    <w:rsid w:val="00B01558"/>
    <w:rsid w:val="00B02FB1"/>
    <w:rsid w:val="00B0645A"/>
    <w:rsid w:val="00B06847"/>
    <w:rsid w:val="00B07042"/>
    <w:rsid w:val="00B071FD"/>
    <w:rsid w:val="00B07868"/>
    <w:rsid w:val="00B1340A"/>
    <w:rsid w:val="00B159DB"/>
    <w:rsid w:val="00B21B6E"/>
    <w:rsid w:val="00B220B5"/>
    <w:rsid w:val="00B22EA9"/>
    <w:rsid w:val="00B24F0E"/>
    <w:rsid w:val="00B262E4"/>
    <w:rsid w:val="00B313EF"/>
    <w:rsid w:val="00B40077"/>
    <w:rsid w:val="00B42160"/>
    <w:rsid w:val="00B43D5E"/>
    <w:rsid w:val="00B45A43"/>
    <w:rsid w:val="00B45D4C"/>
    <w:rsid w:val="00B54914"/>
    <w:rsid w:val="00B5501D"/>
    <w:rsid w:val="00B61668"/>
    <w:rsid w:val="00B6613A"/>
    <w:rsid w:val="00B70AB8"/>
    <w:rsid w:val="00B7110A"/>
    <w:rsid w:val="00B71D96"/>
    <w:rsid w:val="00B73845"/>
    <w:rsid w:val="00B76BA6"/>
    <w:rsid w:val="00B76BE5"/>
    <w:rsid w:val="00B80094"/>
    <w:rsid w:val="00B81523"/>
    <w:rsid w:val="00B81683"/>
    <w:rsid w:val="00B85469"/>
    <w:rsid w:val="00B902AE"/>
    <w:rsid w:val="00B9337F"/>
    <w:rsid w:val="00B94BF5"/>
    <w:rsid w:val="00B958C0"/>
    <w:rsid w:val="00B979BB"/>
    <w:rsid w:val="00B97F8D"/>
    <w:rsid w:val="00BA020C"/>
    <w:rsid w:val="00BA0D9F"/>
    <w:rsid w:val="00BA31AE"/>
    <w:rsid w:val="00BA7B2F"/>
    <w:rsid w:val="00BB4689"/>
    <w:rsid w:val="00BB5D21"/>
    <w:rsid w:val="00BB6C89"/>
    <w:rsid w:val="00BB72FD"/>
    <w:rsid w:val="00BC1036"/>
    <w:rsid w:val="00BC2D8F"/>
    <w:rsid w:val="00BC4302"/>
    <w:rsid w:val="00BC57BB"/>
    <w:rsid w:val="00BD13D0"/>
    <w:rsid w:val="00BD2CE8"/>
    <w:rsid w:val="00BD2E2F"/>
    <w:rsid w:val="00BD6B49"/>
    <w:rsid w:val="00BD7DD2"/>
    <w:rsid w:val="00BE0B38"/>
    <w:rsid w:val="00BE1BCC"/>
    <w:rsid w:val="00BE4777"/>
    <w:rsid w:val="00BF47AC"/>
    <w:rsid w:val="00BF71A1"/>
    <w:rsid w:val="00C017C5"/>
    <w:rsid w:val="00C01E2F"/>
    <w:rsid w:val="00C02BA6"/>
    <w:rsid w:val="00C03393"/>
    <w:rsid w:val="00C05C30"/>
    <w:rsid w:val="00C061C7"/>
    <w:rsid w:val="00C07C7D"/>
    <w:rsid w:val="00C13035"/>
    <w:rsid w:val="00C13F1C"/>
    <w:rsid w:val="00C1435D"/>
    <w:rsid w:val="00C162ED"/>
    <w:rsid w:val="00C202C1"/>
    <w:rsid w:val="00C2639C"/>
    <w:rsid w:val="00C263CC"/>
    <w:rsid w:val="00C276C8"/>
    <w:rsid w:val="00C2797C"/>
    <w:rsid w:val="00C34A5B"/>
    <w:rsid w:val="00C36E6D"/>
    <w:rsid w:val="00C3787E"/>
    <w:rsid w:val="00C42011"/>
    <w:rsid w:val="00C42BCF"/>
    <w:rsid w:val="00C4392E"/>
    <w:rsid w:val="00C45E9C"/>
    <w:rsid w:val="00C4774B"/>
    <w:rsid w:val="00C52B44"/>
    <w:rsid w:val="00C557BA"/>
    <w:rsid w:val="00C55C70"/>
    <w:rsid w:val="00C56EF3"/>
    <w:rsid w:val="00C57B14"/>
    <w:rsid w:val="00C65B54"/>
    <w:rsid w:val="00C71521"/>
    <w:rsid w:val="00C74121"/>
    <w:rsid w:val="00C74475"/>
    <w:rsid w:val="00C74538"/>
    <w:rsid w:val="00C74BFC"/>
    <w:rsid w:val="00C74C7A"/>
    <w:rsid w:val="00C8361D"/>
    <w:rsid w:val="00C868DA"/>
    <w:rsid w:val="00C90CAE"/>
    <w:rsid w:val="00C93054"/>
    <w:rsid w:val="00C957D8"/>
    <w:rsid w:val="00C95A94"/>
    <w:rsid w:val="00CA0618"/>
    <w:rsid w:val="00CA21C4"/>
    <w:rsid w:val="00CA2547"/>
    <w:rsid w:val="00CA2EC3"/>
    <w:rsid w:val="00CA4724"/>
    <w:rsid w:val="00CB00BE"/>
    <w:rsid w:val="00CB13E7"/>
    <w:rsid w:val="00CB191E"/>
    <w:rsid w:val="00CB2604"/>
    <w:rsid w:val="00CB2DB1"/>
    <w:rsid w:val="00CB3F7E"/>
    <w:rsid w:val="00CB47FC"/>
    <w:rsid w:val="00CB7E0F"/>
    <w:rsid w:val="00CC06D9"/>
    <w:rsid w:val="00CC32B5"/>
    <w:rsid w:val="00CC6C12"/>
    <w:rsid w:val="00CD2415"/>
    <w:rsid w:val="00CD2980"/>
    <w:rsid w:val="00CD2DF0"/>
    <w:rsid w:val="00CD3789"/>
    <w:rsid w:val="00CD4F00"/>
    <w:rsid w:val="00CD6C55"/>
    <w:rsid w:val="00CE1988"/>
    <w:rsid w:val="00CE3A39"/>
    <w:rsid w:val="00CE5F46"/>
    <w:rsid w:val="00CE715D"/>
    <w:rsid w:val="00CF1C08"/>
    <w:rsid w:val="00CF61B0"/>
    <w:rsid w:val="00CF6965"/>
    <w:rsid w:val="00CF6EC5"/>
    <w:rsid w:val="00D01A21"/>
    <w:rsid w:val="00D02B6A"/>
    <w:rsid w:val="00D04273"/>
    <w:rsid w:val="00D06451"/>
    <w:rsid w:val="00D10464"/>
    <w:rsid w:val="00D11438"/>
    <w:rsid w:val="00D11F00"/>
    <w:rsid w:val="00D11FD0"/>
    <w:rsid w:val="00D1286E"/>
    <w:rsid w:val="00D210E0"/>
    <w:rsid w:val="00D26E50"/>
    <w:rsid w:val="00D273C4"/>
    <w:rsid w:val="00D30B3E"/>
    <w:rsid w:val="00D31782"/>
    <w:rsid w:val="00D321C7"/>
    <w:rsid w:val="00D332C1"/>
    <w:rsid w:val="00D36F44"/>
    <w:rsid w:val="00D41CF4"/>
    <w:rsid w:val="00D44556"/>
    <w:rsid w:val="00D45F11"/>
    <w:rsid w:val="00D45F7B"/>
    <w:rsid w:val="00D46167"/>
    <w:rsid w:val="00D504EF"/>
    <w:rsid w:val="00D518FB"/>
    <w:rsid w:val="00D54DB4"/>
    <w:rsid w:val="00D56750"/>
    <w:rsid w:val="00D56AAE"/>
    <w:rsid w:val="00D60144"/>
    <w:rsid w:val="00D623F3"/>
    <w:rsid w:val="00D62A61"/>
    <w:rsid w:val="00D721CB"/>
    <w:rsid w:val="00D72322"/>
    <w:rsid w:val="00D729EE"/>
    <w:rsid w:val="00D739D3"/>
    <w:rsid w:val="00D73BF5"/>
    <w:rsid w:val="00D73E04"/>
    <w:rsid w:val="00D7586C"/>
    <w:rsid w:val="00D77E8F"/>
    <w:rsid w:val="00D81728"/>
    <w:rsid w:val="00D828C6"/>
    <w:rsid w:val="00D91FF4"/>
    <w:rsid w:val="00D95FC4"/>
    <w:rsid w:val="00D965FD"/>
    <w:rsid w:val="00D96DFE"/>
    <w:rsid w:val="00D96EEF"/>
    <w:rsid w:val="00D97993"/>
    <w:rsid w:val="00DA2F9C"/>
    <w:rsid w:val="00DB0143"/>
    <w:rsid w:val="00DB45CB"/>
    <w:rsid w:val="00DB7966"/>
    <w:rsid w:val="00DC1FAF"/>
    <w:rsid w:val="00DC59D1"/>
    <w:rsid w:val="00DC7D0F"/>
    <w:rsid w:val="00DD2B2D"/>
    <w:rsid w:val="00DD6641"/>
    <w:rsid w:val="00DE168E"/>
    <w:rsid w:val="00DF172F"/>
    <w:rsid w:val="00DF17BF"/>
    <w:rsid w:val="00DF2140"/>
    <w:rsid w:val="00DF36B4"/>
    <w:rsid w:val="00DF49FE"/>
    <w:rsid w:val="00DF56B6"/>
    <w:rsid w:val="00DF65DE"/>
    <w:rsid w:val="00E02368"/>
    <w:rsid w:val="00E05FFD"/>
    <w:rsid w:val="00E119C1"/>
    <w:rsid w:val="00E12A76"/>
    <w:rsid w:val="00E12DAF"/>
    <w:rsid w:val="00E15E99"/>
    <w:rsid w:val="00E1687C"/>
    <w:rsid w:val="00E17BCE"/>
    <w:rsid w:val="00E213C4"/>
    <w:rsid w:val="00E25C96"/>
    <w:rsid w:val="00E26C9C"/>
    <w:rsid w:val="00E3158C"/>
    <w:rsid w:val="00E32038"/>
    <w:rsid w:val="00E33CF9"/>
    <w:rsid w:val="00E35052"/>
    <w:rsid w:val="00E35309"/>
    <w:rsid w:val="00E356FE"/>
    <w:rsid w:val="00E41196"/>
    <w:rsid w:val="00E424D2"/>
    <w:rsid w:val="00E43455"/>
    <w:rsid w:val="00E43819"/>
    <w:rsid w:val="00E43EF1"/>
    <w:rsid w:val="00E4554E"/>
    <w:rsid w:val="00E45C23"/>
    <w:rsid w:val="00E51795"/>
    <w:rsid w:val="00E5277A"/>
    <w:rsid w:val="00E53B52"/>
    <w:rsid w:val="00E632AC"/>
    <w:rsid w:val="00E6491A"/>
    <w:rsid w:val="00E66762"/>
    <w:rsid w:val="00E721A9"/>
    <w:rsid w:val="00E74E1D"/>
    <w:rsid w:val="00E75D00"/>
    <w:rsid w:val="00E75F3B"/>
    <w:rsid w:val="00E76648"/>
    <w:rsid w:val="00E77E5A"/>
    <w:rsid w:val="00E83193"/>
    <w:rsid w:val="00E86C0D"/>
    <w:rsid w:val="00E87D96"/>
    <w:rsid w:val="00E90168"/>
    <w:rsid w:val="00E90A8F"/>
    <w:rsid w:val="00E90B4B"/>
    <w:rsid w:val="00E91452"/>
    <w:rsid w:val="00E93F89"/>
    <w:rsid w:val="00EA2030"/>
    <w:rsid w:val="00EA5D2D"/>
    <w:rsid w:val="00EB0BA5"/>
    <w:rsid w:val="00EB151B"/>
    <w:rsid w:val="00EB3128"/>
    <w:rsid w:val="00EB7F44"/>
    <w:rsid w:val="00EC189B"/>
    <w:rsid w:val="00EC2CC3"/>
    <w:rsid w:val="00EC3F6B"/>
    <w:rsid w:val="00EC5C8C"/>
    <w:rsid w:val="00EC7BD8"/>
    <w:rsid w:val="00EC7F67"/>
    <w:rsid w:val="00ED04DC"/>
    <w:rsid w:val="00ED0A07"/>
    <w:rsid w:val="00ED0B50"/>
    <w:rsid w:val="00ED1033"/>
    <w:rsid w:val="00ED3993"/>
    <w:rsid w:val="00ED4B30"/>
    <w:rsid w:val="00ED4E28"/>
    <w:rsid w:val="00ED5206"/>
    <w:rsid w:val="00ED72C1"/>
    <w:rsid w:val="00ED788C"/>
    <w:rsid w:val="00EE1CF4"/>
    <w:rsid w:val="00EE46FF"/>
    <w:rsid w:val="00EE4709"/>
    <w:rsid w:val="00EE6643"/>
    <w:rsid w:val="00EE71F1"/>
    <w:rsid w:val="00EF051A"/>
    <w:rsid w:val="00EF1336"/>
    <w:rsid w:val="00EF1E4E"/>
    <w:rsid w:val="00EF5356"/>
    <w:rsid w:val="00EF5447"/>
    <w:rsid w:val="00EF77D8"/>
    <w:rsid w:val="00F02D75"/>
    <w:rsid w:val="00F06E6E"/>
    <w:rsid w:val="00F11CFC"/>
    <w:rsid w:val="00F21756"/>
    <w:rsid w:val="00F218C8"/>
    <w:rsid w:val="00F22CEC"/>
    <w:rsid w:val="00F2489D"/>
    <w:rsid w:val="00F2502E"/>
    <w:rsid w:val="00F2743A"/>
    <w:rsid w:val="00F309E2"/>
    <w:rsid w:val="00F30EB0"/>
    <w:rsid w:val="00F35BA4"/>
    <w:rsid w:val="00F374DD"/>
    <w:rsid w:val="00F419EF"/>
    <w:rsid w:val="00F448F1"/>
    <w:rsid w:val="00F451D8"/>
    <w:rsid w:val="00F45366"/>
    <w:rsid w:val="00F479DE"/>
    <w:rsid w:val="00F50781"/>
    <w:rsid w:val="00F5116C"/>
    <w:rsid w:val="00F51EC5"/>
    <w:rsid w:val="00F53B86"/>
    <w:rsid w:val="00F54E71"/>
    <w:rsid w:val="00F556DC"/>
    <w:rsid w:val="00F56B6C"/>
    <w:rsid w:val="00F572C7"/>
    <w:rsid w:val="00F62237"/>
    <w:rsid w:val="00F62DC5"/>
    <w:rsid w:val="00F639C8"/>
    <w:rsid w:val="00F65DD1"/>
    <w:rsid w:val="00F70DB5"/>
    <w:rsid w:val="00F710F9"/>
    <w:rsid w:val="00F74621"/>
    <w:rsid w:val="00F817DE"/>
    <w:rsid w:val="00F90B52"/>
    <w:rsid w:val="00F91E50"/>
    <w:rsid w:val="00F91F7C"/>
    <w:rsid w:val="00F9337E"/>
    <w:rsid w:val="00F93958"/>
    <w:rsid w:val="00F94A95"/>
    <w:rsid w:val="00F97224"/>
    <w:rsid w:val="00FA1152"/>
    <w:rsid w:val="00FA186C"/>
    <w:rsid w:val="00FA1CDC"/>
    <w:rsid w:val="00FA1E7F"/>
    <w:rsid w:val="00FA2D02"/>
    <w:rsid w:val="00FA4D0F"/>
    <w:rsid w:val="00FA7965"/>
    <w:rsid w:val="00FB1155"/>
    <w:rsid w:val="00FB3B21"/>
    <w:rsid w:val="00FC4A99"/>
    <w:rsid w:val="00FC5334"/>
    <w:rsid w:val="00FC5379"/>
    <w:rsid w:val="00FC5574"/>
    <w:rsid w:val="00FC6EA1"/>
    <w:rsid w:val="00FD44FC"/>
    <w:rsid w:val="00FD5695"/>
    <w:rsid w:val="00FD7030"/>
    <w:rsid w:val="00FD7B44"/>
    <w:rsid w:val="00FE0E6E"/>
    <w:rsid w:val="00FE3160"/>
    <w:rsid w:val="00FE5536"/>
    <w:rsid w:val="00FE76EC"/>
    <w:rsid w:val="00FF0F47"/>
    <w:rsid w:val="00FF11D7"/>
    <w:rsid w:val="00FF1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AF9328"/>
  <w15:docId w15:val="{E2BAEBAB-C634-4EAA-A062-034D8B623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6B46"/>
    <w:rPr>
      <w:sz w:val="24"/>
      <w:szCs w:val="24"/>
      <w:lang w:val="en-US" w:eastAsia="en-US"/>
    </w:rPr>
  </w:style>
  <w:style w:type="paragraph" w:styleId="Heading1">
    <w:name w:val="heading 1"/>
    <w:basedOn w:val="Normal"/>
    <w:next w:val="Normal"/>
    <w:qFormat/>
    <w:rsid w:val="00BE0B38"/>
    <w:pPr>
      <w:keepNext/>
      <w:numPr>
        <w:numId w:val="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
      </w:numPr>
      <w:outlineLvl w:val="2"/>
    </w:pPr>
    <w:rPr>
      <w:i/>
      <w:iCs/>
      <w:sz w:val="20"/>
      <w:szCs w:val="20"/>
    </w:rPr>
  </w:style>
  <w:style w:type="paragraph" w:styleId="Heading4">
    <w:name w:val="heading 4"/>
    <w:basedOn w:val="Normal"/>
    <w:next w:val="Normal"/>
    <w:qFormat/>
    <w:rsid w:val="00BE0B38"/>
    <w:pPr>
      <w:keepNext/>
      <w:numPr>
        <w:ilvl w:val="3"/>
        <w:numId w:val="1"/>
      </w:numPr>
      <w:spacing w:before="240" w:after="60"/>
      <w:outlineLvl w:val="3"/>
    </w:pPr>
    <w:rPr>
      <w:i/>
      <w:iCs/>
      <w:sz w:val="18"/>
      <w:szCs w:val="18"/>
    </w:rPr>
  </w:style>
  <w:style w:type="paragraph" w:styleId="Heading5">
    <w:name w:val="heading 5"/>
    <w:basedOn w:val="Normal"/>
    <w:next w:val="Normal"/>
    <w:qFormat/>
    <w:rsid w:val="00BE0B38"/>
    <w:pPr>
      <w:numPr>
        <w:ilvl w:val="4"/>
        <w:numId w:val="1"/>
      </w:numPr>
      <w:spacing w:before="240" w:after="60"/>
      <w:outlineLvl w:val="4"/>
    </w:pPr>
    <w:rPr>
      <w:sz w:val="18"/>
      <w:szCs w:val="18"/>
    </w:rPr>
  </w:style>
  <w:style w:type="paragraph" w:styleId="Heading6">
    <w:name w:val="heading 6"/>
    <w:basedOn w:val="Normal"/>
    <w:next w:val="Normal"/>
    <w:qFormat/>
    <w:rsid w:val="00BE0B38"/>
    <w:pPr>
      <w:numPr>
        <w:ilvl w:val="5"/>
        <w:numId w:val="1"/>
      </w:numPr>
      <w:spacing w:before="240" w:after="60"/>
      <w:outlineLvl w:val="5"/>
    </w:pPr>
    <w:rPr>
      <w:i/>
      <w:iCs/>
      <w:sz w:val="16"/>
      <w:szCs w:val="16"/>
    </w:rPr>
  </w:style>
  <w:style w:type="paragraph" w:styleId="Heading7">
    <w:name w:val="heading 7"/>
    <w:basedOn w:val="Normal"/>
    <w:next w:val="Normal"/>
    <w:qFormat/>
    <w:rsid w:val="00BE0B38"/>
    <w:pPr>
      <w:numPr>
        <w:ilvl w:val="6"/>
        <w:numId w:val="1"/>
      </w:numPr>
      <w:spacing w:before="240" w:after="60"/>
      <w:outlineLvl w:val="6"/>
    </w:pPr>
    <w:rPr>
      <w:sz w:val="16"/>
      <w:szCs w:val="16"/>
    </w:rPr>
  </w:style>
  <w:style w:type="paragraph" w:styleId="Heading8">
    <w:name w:val="heading 8"/>
    <w:basedOn w:val="Normal"/>
    <w:next w:val="Normal"/>
    <w:qFormat/>
    <w:rsid w:val="00BE0B38"/>
    <w:pPr>
      <w:numPr>
        <w:ilvl w:val="7"/>
        <w:numId w:val="1"/>
      </w:numPr>
      <w:spacing w:before="240" w:after="60"/>
      <w:outlineLvl w:val="7"/>
    </w:pPr>
    <w:rPr>
      <w:i/>
      <w:iCs/>
      <w:sz w:val="16"/>
      <w:szCs w:val="16"/>
    </w:rPr>
  </w:style>
  <w:style w:type="paragraph" w:styleId="Heading9">
    <w:name w:val="heading 9"/>
    <w:basedOn w:val="Normal"/>
    <w:next w:val="Normal"/>
    <w:qFormat/>
    <w:rsid w:val="00BE0B38"/>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13"/>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5"/>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6"/>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4"/>
      </w:num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AfterH1">
    <w:name w:val="H2_After H1"/>
    <w:rsid w:val="00A06892"/>
    <w:pPr>
      <w:numPr>
        <w:numId w:val="37"/>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14141F"/>
    <w:pPr>
      <w:numPr>
        <w:numId w:val="3"/>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ind w:left="280" w:hanging="280"/>
    </w:pPr>
    <w:rPr>
      <w:rFonts w:cs="Times New Roman"/>
      <w:szCs w:val="20"/>
    </w:rPr>
  </w:style>
  <w:style w:type="paragraph" w:customStyle="1" w:styleId="H2First">
    <w:name w:val="H2_First"/>
    <w:basedOn w:val="Normal"/>
    <w:qFormat/>
    <w:rsid w:val="006D5343"/>
    <w:pPr>
      <w:numPr>
        <w:numId w:val="18"/>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5"/>
      </w:numPr>
      <w:spacing w:before="260"/>
    </w:pPr>
    <w:rPr>
      <w:rFonts w:cs="Times New Roman"/>
      <w:bCs/>
      <w:iCs/>
      <w:szCs w:val="20"/>
    </w:rPr>
  </w:style>
  <w:style w:type="paragraph" w:customStyle="1" w:styleId="H2ConNoSpace">
    <w:name w:val="H2_Con NoSpace"/>
    <w:rsid w:val="0033583E"/>
    <w:pPr>
      <w:numPr>
        <w:numId w:val="9"/>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10"/>
      </w:numPr>
    </w:pPr>
  </w:style>
  <w:style w:type="paragraph" w:customStyle="1" w:styleId="H2Cont">
    <w:name w:val="H2_Cont"/>
    <w:rsid w:val="007C4B89"/>
    <w:pPr>
      <w:numPr>
        <w:numId w:val="40"/>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loonText">
    <w:name w:val="Balloon Text"/>
    <w:basedOn w:val="Normal"/>
    <w:link w:val="BalloonTextChar"/>
    <w:rsid w:val="00B43D5E"/>
    <w:rPr>
      <w:rFonts w:ascii="Tahoma" w:hAnsi="Tahoma" w:cs="Tahoma"/>
      <w:sz w:val="16"/>
      <w:szCs w:val="16"/>
    </w:rPr>
  </w:style>
  <w:style w:type="character" w:customStyle="1" w:styleId="BalloonTextChar">
    <w:name w:val="Balloon Text Char"/>
    <w:basedOn w:val="DefaultParagraphFont"/>
    <w:link w:val="BalloonText"/>
    <w:rsid w:val="00B43D5E"/>
    <w:rPr>
      <w:rFonts w:ascii="Tahoma" w:hAnsi="Tahoma" w:cs="Tahoma"/>
      <w:sz w:val="16"/>
      <w:szCs w:val="16"/>
      <w:lang w:val="en-US" w:eastAsia="en-US"/>
    </w:rPr>
  </w:style>
  <w:style w:type="character" w:styleId="CommentReference">
    <w:name w:val="annotation reference"/>
    <w:basedOn w:val="DefaultParagraphFont"/>
    <w:semiHidden/>
    <w:unhideWhenUsed/>
    <w:rsid w:val="006621CC"/>
    <w:rPr>
      <w:sz w:val="16"/>
      <w:szCs w:val="16"/>
    </w:rPr>
  </w:style>
  <w:style w:type="paragraph" w:styleId="CommentText">
    <w:name w:val="annotation text"/>
    <w:basedOn w:val="Normal"/>
    <w:link w:val="CommentTextChar"/>
    <w:unhideWhenUsed/>
    <w:rsid w:val="006621CC"/>
    <w:rPr>
      <w:sz w:val="20"/>
      <w:szCs w:val="20"/>
    </w:rPr>
  </w:style>
  <w:style w:type="character" w:customStyle="1" w:styleId="CommentTextChar">
    <w:name w:val="Comment Text Char"/>
    <w:basedOn w:val="DefaultParagraphFont"/>
    <w:link w:val="CommentText"/>
    <w:rsid w:val="006621CC"/>
    <w:rPr>
      <w:lang w:val="en-US" w:eastAsia="en-US"/>
    </w:rPr>
  </w:style>
  <w:style w:type="paragraph" w:styleId="CommentSubject">
    <w:name w:val="annotation subject"/>
    <w:basedOn w:val="CommentText"/>
    <w:next w:val="CommentText"/>
    <w:link w:val="CommentSubjectChar"/>
    <w:semiHidden/>
    <w:unhideWhenUsed/>
    <w:rsid w:val="006621CC"/>
    <w:rPr>
      <w:b/>
      <w:bCs/>
    </w:rPr>
  </w:style>
  <w:style w:type="character" w:customStyle="1" w:styleId="CommentSubjectChar">
    <w:name w:val="Comment Subject Char"/>
    <w:basedOn w:val="CommentTextChar"/>
    <w:link w:val="CommentSubject"/>
    <w:semiHidden/>
    <w:rsid w:val="006621CC"/>
    <w:rPr>
      <w:b/>
      <w:bCs/>
      <w:lang w:val="en-US" w:eastAsia="en-US"/>
    </w:rPr>
  </w:style>
  <w:style w:type="paragraph" w:customStyle="1" w:styleId="REFBUL">
    <w:name w:val="REF_BUL"/>
    <w:basedOn w:val="PARA"/>
    <w:qFormat/>
    <w:rsid w:val="001C495F"/>
    <w:pPr>
      <w:numPr>
        <w:numId w:val="42"/>
      </w:numPr>
      <w:ind w:left="480" w:hanging="240"/>
    </w:pPr>
    <w:rPr>
      <w:i/>
    </w:rPr>
  </w:style>
  <w:style w:type="paragraph" w:customStyle="1" w:styleId="REFTxt">
    <w:name w:val="REF_Txt"/>
    <w:basedOn w:val="Normal"/>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Emphasis">
    <w:name w:val="Emphasis"/>
    <w:basedOn w:val="DefaultParagraphFont"/>
    <w:uiPriority w:val="20"/>
    <w:qFormat/>
    <w:rsid w:val="00505C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eee.org/publications/services/thesaurus.html" TargetMode="Externa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oleObject" Target="embeddings/oleObject1.bin"/><Relationship Id="rId25"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verleaf.com/blog/278-how-to-use-overleaf-with-ieee-collabratec-your-quick-guide-to-getting-started" TargetMode="External"/><Relationship Id="rId24" Type="http://schemas.openxmlformats.org/officeDocument/2006/relationships/image" Target="media/image7.tiff"/><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6.tiff"/><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5.tiff"/><Relationship Id="rId27" Type="http://schemas.openxmlformats.org/officeDocument/2006/relationships/theme" Target="theme/theme1.xml"/><Relationship Id="rId28" Type="http://schemas.openxmlformats.org/officeDocument/2006/relationships/header" Target="header3.xml"/><Relationship Id="rId29" Type="http://schemas.openxmlformats.org/officeDocument/2006/relationships/image" Target="media/image8.png"/><Relationship Id="rId30" Type="http://schemas.openxmlformats.org/officeDocument/2006/relationships/image" Target="media/image9.png"/><Relationship Id="rId31" Type="http://schemas.openxmlformats.org/officeDocument/2006/relationships/image" Target="media/image10.png"/><Relationship Id="rId32"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A7A4D4-BF06-4BA0-A3D8-63287419C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5623</Words>
  <Characters>32056</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37604</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creator>lds2</dc:creator>
  <cp:lastModifiedBy>Eric Charbonneau</cp:lastModifiedBy>
  <cp:revision>4</cp:revision>
  <cp:lastPrinted>2022-11-11T11:49:00Z</cp:lastPrinted>
  <dcterms:created xsi:type="dcterms:W3CDTF">2024-04-29T14:52:00Z</dcterms:created>
  <dcterms:modified xsi:type="dcterms:W3CDTF">2024-04-30T12:36:00Z</dcterms:modified>
</cp:coreProperties>
</file>