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Behaviour Support Plan (PBS format)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A positive behaviour support (PBS) plan. Complete with the child wherever possible, share with the whole team, and review after any significant incident and at least monthly.</w:t>
      </w:r>
    </w:p>
    <w:p>
      <w:pPr>
        <w:pStyle w:val="Heading1"/>
      </w:pPr>
      <w:r>
        <w:t>1. About the young person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Plan details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Name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birth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plan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Plan written by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Contributors (child, family, SW, CAMHS, school)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Review date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Strengths, interests and what a good day looks like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2. Understanding the behaviour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does the behaviour look like? (describe it factually)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Describe observable behaviour, not labels — e.g. 'shouts and kicks doors' rather than 'kicks off'.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Triggers and setting events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e.g. family time, transitions, noise, hunger, anniversaries, peer dynamics, feeling out of control.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is the behaviour communicating? (its function)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e.g. seeking safety, connection or control; escaping demands; sensory needs; expression of trauma.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Early warning signs that things are building</w:t>
            </w:r>
          </w:p>
        </w:tc>
      </w:tr>
      <w:tr>
        <w:trPr>
          <w:trHeight w:val="1134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Changes in body language, tone, withdrawal, pacing, etc.</w:t>
            </w:r>
          </w:p>
        </w:tc>
      </w:tr>
    </w:tbl>
    <w:p>
      <w:pPr>
        <w:spacing w:after="0"/>
      </w:pPr>
    </w:p>
    <w:p>
      <w:pPr>
        <w:pStyle w:val="Heading1"/>
      </w:pPr>
      <w:r>
        <w:t>3. Primary (proactive) strategies — keeping things calm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we do every day to reduce the likelihood of incidents</w:t>
            </w:r>
          </w:p>
        </w:tc>
      </w:tr>
      <w:tr>
        <w:trPr>
          <w:trHeight w:val="170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Routine, relationships, environment, communication approach, activities, sensory strategies, choices and control.</w:t>
            </w:r>
          </w:p>
        </w:tc>
      </w:tr>
    </w:tbl>
    <w:p>
      <w:pPr>
        <w:spacing w:after="0"/>
      </w:pPr>
    </w:p>
    <w:p>
      <w:pPr>
        <w:pStyle w:val="Heading1"/>
      </w:pPr>
      <w:r>
        <w:t>4. Secondary (de-escalation) strategies — when signs appear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helps when the young person is becoming distressed</w:t>
            </w:r>
          </w:p>
        </w:tc>
      </w:tr>
      <w:tr>
        <w:trPr>
          <w:trHeight w:val="170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Named adults, scripts and phrases that help, space, distraction, reduced demands. Include what does NOT help.</w:t>
            </w:r>
          </w:p>
        </w:tc>
      </w:tr>
    </w:tbl>
    <w:p>
      <w:pPr>
        <w:spacing w:after="0"/>
      </w:pPr>
    </w:p>
    <w:p>
      <w:pPr>
        <w:pStyle w:val="Heading1"/>
      </w:pPr>
      <w:r>
        <w:t>5. Reactive strategies — during an incident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Agreed responses to keep everyone safe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Include any authorised physical intervention holds from your accredited training model, who may use them, and last-resort criteria. Restraint only to prevent injury, serious damage to property or absconding risk of harm (Reg 20, Children's Homes (England) Regulations 2015).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Physical intervention authorised?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Yes / No — specify techniques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Medical considerations relevant to restraint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Positions / holds that must NOT be used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6. After an incident — repair and reflection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Post-incident support for the young person and staff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Debrief with the child (within 24–48 hours), restorative approach, staff debrief, recording (daily log, physical intervention record), notifications.</w:t>
            </w:r>
          </w:p>
        </w:tc>
      </w:tr>
    </w:tbl>
    <w:p>
      <w:pPr>
        <w:spacing w:after="0"/>
      </w:pPr>
    </w:p>
    <w:p>
      <w:pPr>
        <w:pStyle w:val="Heading1"/>
      </w:pPr>
      <w:r>
        <w:t>7. Agreement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Young person (if able / willing)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Key worker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Registered 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ABC recording sheet</w:t>
      </w:r>
    </w:p>
    <w:p>
      <w:r>
        <w:rPr>
          <w:b w:val="0"/>
          <w:i/>
          <w:color w:val="595959"/>
          <w:sz w:val="18"/>
        </w:rPr>
        <w:t>Complete a row after each incident of concern. Use the pattern over time to review sections 2–5 of this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Young person</w:t>
            </w:r>
          </w:p>
        </w:tc>
        <w:tc>
          <w:tcPr>
            <w:tcW w:type="dxa" w:w="7313"/>
          </w:tcPr>
          <w:p/>
        </w:tc>
      </w:tr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Month</w:t>
            </w:r>
          </w:p>
        </w:tc>
        <w:tc>
          <w:tcPr>
            <w:tcW w:type="dxa" w:w="731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Date / time &amp; staff initials</w:t>
            </w:r>
          </w:p>
        </w:tc>
        <w:tc>
          <w:tcPr>
            <w:tcW w:type="dxa" w:w="2721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Antecedent — what happened just before?</w:t>
            </w:r>
          </w:p>
        </w:tc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Behaviour — what exactly did they do?</w:t>
            </w:r>
          </w:p>
        </w:tc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Consequence — what happened next / how did it end?</w:t>
            </w:r>
          </w:p>
        </w:tc>
      </w:tr>
      <w:tr>
        <w:trPr>
          <w:trHeight w:val="964" w:hRule="atLeast"/>
        </w:trPr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2665"/>
          </w:tcPr>
          <w:p/>
        </w:tc>
        <w:tc>
          <w:tcPr>
            <w:tcW w:type="dxa" w:w="2665"/>
          </w:tcPr>
          <w:p/>
        </w:tc>
      </w:tr>
      <w:tr>
        <w:trPr>
          <w:trHeight w:val="964" w:hRule="atLeast"/>
        </w:trPr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2665"/>
          </w:tcPr>
          <w:p/>
        </w:tc>
        <w:tc>
          <w:tcPr>
            <w:tcW w:type="dxa" w:w="2665"/>
          </w:tcPr>
          <w:p/>
        </w:tc>
      </w:tr>
      <w:tr>
        <w:trPr>
          <w:trHeight w:val="964" w:hRule="atLeast"/>
        </w:trPr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2665"/>
          </w:tcPr>
          <w:p/>
        </w:tc>
        <w:tc>
          <w:tcPr>
            <w:tcW w:type="dxa" w:w="2665"/>
          </w:tcPr>
          <w:p/>
        </w:tc>
      </w:tr>
      <w:tr>
        <w:trPr>
          <w:trHeight w:val="964" w:hRule="atLeast"/>
        </w:trPr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2665"/>
          </w:tcPr>
          <w:p/>
        </w:tc>
        <w:tc>
          <w:tcPr>
            <w:tcW w:type="dxa" w:w="2665"/>
          </w:tcPr>
          <w:p/>
        </w:tc>
      </w:tr>
      <w:tr>
        <w:trPr>
          <w:trHeight w:val="964" w:hRule="atLeast"/>
        </w:trPr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2665"/>
          </w:tcPr>
          <w:p/>
        </w:tc>
        <w:tc>
          <w:tcPr>
            <w:tcW w:type="dxa" w:w="2665"/>
          </w:tcPr>
          <w:p/>
        </w:tc>
      </w:tr>
      <w:tr>
        <w:trPr>
          <w:trHeight w:val="964" w:hRule="atLeast"/>
        </w:trPr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2665"/>
          </w:tcPr>
          <w:p/>
        </w:tc>
        <w:tc>
          <w:tcPr>
            <w:tcW w:type="dxa" w:w="2665"/>
          </w:tcPr>
          <w:p/>
        </w:tc>
      </w:tr>
      <w:tr>
        <w:trPr>
          <w:trHeight w:val="964" w:hRule="atLeast"/>
        </w:trPr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2665"/>
          </w:tcPr>
          <w:p/>
        </w:tc>
        <w:tc>
          <w:tcPr>
            <w:tcW w:type="dxa" w:w="2665"/>
          </w:tcPr>
          <w:p/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