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Complaints Log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A running record of all complaints, including verbal complaints and grumbles, supporting Regulation 16. Keep individual complaint files for detail; use this log for oversight, trends and evidence of learning.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rHeight w:val="340" w:hRule="atLeast"/>
          <w:tblHeader w:val="true"/>
        </w:trPr>
        <w:tc>
          <w:tcPr>
            <w:tcW w:type="dxa" w:w="14798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Log details</w:t>
            </w:r>
          </w:p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Service</w:t>
            </w:r>
          </w:p>
        </w:tc>
        <w:tc>
          <w:tcPr>
            <w:tcW w:type="dxa" w:w="11962"/>
          </w:tcPr>
          <w:p/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Year</w:t>
            </w:r>
          </w:p>
        </w:tc>
        <w:tc>
          <w:tcPr>
            <w:tcW w:type="dxa" w:w="11962"/>
          </w:tcPr>
          <w:p/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Log maintained by</w:t>
            </w:r>
          </w:p>
        </w:tc>
        <w:tc>
          <w:tcPr>
            <w:tcW w:type="dxa" w:w="11962"/>
          </w:tcPr>
          <w:p/>
        </w:tc>
      </w:tr>
    </w:tbl>
    <w:p>
      <w:pPr>
        <w:spacing w:after="0"/>
      </w:pPr>
    </w:p>
    <w:p>
      <w:pPr>
        <w:pStyle w:val="Heading1"/>
      </w:pPr>
      <w:r>
        <w:t>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rHeight w:val="340" w:hRule="atLeast"/>
          <w:tblHeader w:val="true"/>
        </w:trPr>
        <w:tc>
          <w:tcPr>
            <w:tcW w:type="dxa" w:w="680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Ref</w:t>
            </w:r>
          </w:p>
        </w:tc>
        <w:tc>
          <w:tcPr>
            <w:tcW w:type="dxa" w:w="1077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Date received</w:t>
            </w:r>
          </w:p>
        </w:tc>
        <w:tc>
          <w:tcPr>
            <w:tcW w:type="dxa" w:w="1474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Complainant (and on behalf of)</w:t>
            </w:r>
          </w:p>
        </w:tc>
        <w:tc>
          <w:tcPr>
            <w:tcW w:type="dxa" w:w="964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How received</w:t>
            </w:r>
          </w:p>
        </w:tc>
        <w:tc>
          <w:tcPr>
            <w:tcW w:type="dxa" w:w="2324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Summary of complaint</w:t>
            </w:r>
          </w:p>
        </w:tc>
        <w:tc>
          <w:tcPr>
            <w:tcW w:type="dxa" w:w="1077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Acknowledged (date)</w:t>
            </w:r>
          </w:p>
        </w:tc>
        <w:tc>
          <w:tcPr>
            <w:tcW w:type="dxa" w:w="1191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Investigated by</w:t>
            </w:r>
          </w:p>
        </w:tc>
        <w:tc>
          <w:tcPr>
            <w:tcW w:type="dxa" w:w="1304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Outcome (upheld / partly / not upheld)</w:t>
            </w:r>
          </w:p>
        </w:tc>
        <w:tc>
          <w:tcPr>
            <w:tcW w:type="dxa" w:w="1020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Response sent</w:t>
            </w:r>
          </w:p>
        </w:tc>
        <w:tc>
          <w:tcPr>
            <w:tcW w:type="dxa" w:w="2438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Actions / learning</w:t>
            </w:r>
          </w:p>
        </w:tc>
        <w:tc>
          <w:tcPr>
            <w:tcW w:type="dxa" w:w="1247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Closed</w:t>
            </w:r>
          </w:p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077"/>
          </w:tcPr>
          <w:p/>
        </w:tc>
        <w:tc>
          <w:tcPr>
            <w:tcW w:type="dxa" w:w="1474"/>
          </w:tcPr>
          <w:p/>
        </w:tc>
        <w:tc>
          <w:tcPr>
            <w:tcW w:type="dxa" w:w="964"/>
          </w:tcPr>
          <w:p/>
        </w:tc>
        <w:tc>
          <w:tcPr>
            <w:tcW w:type="dxa" w:w="2324"/>
          </w:tcPr>
          <w:p/>
        </w:tc>
        <w:tc>
          <w:tcPr>
            <w:tcW w:type="dxa" w:w="1077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020"/>
          </w:tcPr>
          <w:p/>
        </w:tc>
        <w:tc>
          <w:tcPr>
            <w:tcW w:type="dxa" w:w="2438"/>
          </w:tcPr>
          <w:p/>
        </w:tc>
        <w:tc>
          <w:tcPr>
            <w:tcW w:type="dxa" w:w="1247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077"/>
          </w:tcPr>
          <w:p/>
        </w:tc>
        <w:tc>
          <w:tcPr>
            <w:tcW w:type="dxa" w:w="1474"/>
          </w:tcPr>
          <w:p/>
        </w:tc>
        <w:tc>
          <w:tcPr>
            <w:tcW w:type="dxa" w:w="964"/>
          </w:tcPr>
          <w:p/>
        </w:tc>
        <w:tc>
          <w:tcPr>
            <w:tcW w:type="dxa" w:w="2324"/>
          </w:tcPr>
          <w:p/>
        </w:tc>
        <w:tc>
          <w:tcPr>
            <w:tcW w:type="dxa" w:w="1077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020"/>
          </w:tcPr>
          <w:p/>
        </w:tc>
        <w:tc>
          <w:tcPr>
            <w:tcW w:type="dxa" w:w="2438"/>
          </w:tcPr>
          <w:p/>
        </w:tc>
        <w:tc>
          <w:tcPr>
            <w:tcW w:type="dxa" w:w="1247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077"/>
          </w:tcPr>
          <w:p/>
        </w:tc>
        <w:tc>
          <w:tcPr>
            <w:tcW w:type="dxa" w:w="1474"/>
          </w:tcPr>
          <w:p/>
        </w:tc>
        <w:tc>
          <w:tcPr>
            <w:tcW w:type="dxa" w:w="964"/>
          </w:tcPr>
          <w:p/>
        </w:tc>
        <w:tc>
          <w:tcPr>
            <w:tcW w:type="dxa" w:w="2324"/>
          </w:tcPr>
          <w:p/>
        </w:tc>
        <w:tc>
          <w:tcPr>
            <w:tcW w:type="dxa" w:w="1077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020"/>
          </w:tcPr>
          <w:p/>
        </w:tc>
        <w:tc>
          <w:tcPr>
            <w:tcW w:type="dxa" w:w="2438"/>
          </w:tcPr>
          <w:p/>
        </w:tc>
        <w:tc>
          <w:tcPr>
            <w:tcW w:type="dxa" w:w="1247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077"/>
          </w:tcPr>
          <w:p/>
        </w:tc>
        <w:tc>
          <w:tcPr>
            <w:tcW w:type="dxa" w:w="1474"/>
          </w:tcPr>
          <w:p/>
        </w:tc>
        <w:tc>
          <w:tcPr>
            <w:tcW w:type="dxa" w:w="964"/>
          </w:tcPr>
          <w:p/>
        </w:tc>
        <w:tc>
          <w:tcPr>
            <w:tcW w:type="dxa" w:w="2324"/>
          </w:tcPr>
          <w:p/>
        </w:tc>
        <w:tc>
          <w:tcPr>
            <w:tcW w:type="dxa" w:w="1077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020"/>
          </w:tcPr>
          <w:p/>
        </w:tc>
        <w:tc>
          <w:tcPr>
            <w:tcW w:type="dxa" w:w="2438"/>
          </w:tcPr>
          <w:p/>
        </w:tc>
        <w:tc>
          <w:tcPr>
            <w:tcW w:type="dxa" w:w="1247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077"/>
          </w:tcPr>
          <w:p/>
        </w:tc>
        <w:tc>
          <w:tcPr>
            <w:tcW w:type="dxa" w:w="1474"/>
          </w:tcPr>
          <w:p/>
        </w:tc>
        <w:tc>
          <w:tcPr>
            <w:tcW w:type="dxa" w:w="964"/>
          </w:tcPr>
          <w:p/>
        </w:tc>
        <w:tc>
          <w:tcPr>
            <w:tcW w:type="dxa" w:w="2324"/>
          </w:tcPr>
          <w:p/>
        </w:tc>
        <w:tc>
          <w:tcPr>
            <w:tcW w:type="dxa" w:w="1077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020"/>
          </w:tcPr>
          <w:p/>
        </w:tc>
        <w:tc>
          <w:tcPr>
            <w:tcW w:type="dxa" w:w="2438"/>
          </w:tcPr>
          <w:p/>
        </w:tc>
        <w:tc>
          <w:tcPr>
            <w:tcW w:type="dxa" w:w="1247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077"/>
          </w:tcPr>
          <w:p/>
        </w:tc>
        <w:tc>
          <w:tcPr>
            <w:tcW w:type="dxa" w:w="1474"/>
          </w:tcPr>
          <w:p/>
        </w:tc>
        <w:tc>
          <w:tcPr>
            <w:tcW w:type="dxa" w:w="964"/>
          </w:tcPr>
          <w:p/>
        </w:tc>
        <w:tc>
          <w:tcPr>
            <w:tcW w:type="dxa" w:w="2324"/>
          </w:tcPr>
          <w:p/>
        </w:tc>
        <w:tc>
          <w:tcPr>
            <w:tcW w:type="dxa" w:w="1077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020"/>
          </w:tcPr>
          <w:p/>
        </w:tc>
        <w:tc>
          <w:tcPr>
            <w:tcW w:type="dxa" w:w="2438"/>
          </w:tcPr>
          <w:p/>
        </w:tc>
        <w:tc>
          <w:tcPr>
            <w:tcW w:type="dxa" w:w="1247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077"/>
          </w:tcPr>
          <w:p/>
        </w:tc>
        <w:tc>
          <w:tcPr>
            <w:tcW w:type="dxa" w:w="1474"/>
          </w:tcPr>
          <w:p/>
        </w:tc>
        <w:tc>
          <w:tcPr>
            <w:tcW w:type="dxa" w:w="964"/>
          </w:tcPr>
          <w:p/>
        </w:tc>
        <w:tc>
          <w:tcPr>
            <w:tcW w:type="dxa" w:w="2324"/>
          </w:tcPr>
          <w:p/>
        </w:tc>
        <w:tc>
          <w:tcPr>
            <w:tcW w:type="dxa" w:w="1077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020"/>
          </w:tcPr>
          <w:p/>
        </w:tc>
        <w:tc>
          <w:tcPr>
            <w:tcW w:type="dxa" w:w="2438"/>
          </w:tcPr>
          <w:p/>
        </w:tc>
        <w:tc>
          <w:tcPr>
            <w:tcW w:type="dxa" w:w="1247"/>
          </w:tcPr>
          <w:p/>
        </w:tc>
      </w:tr>
      <w:tr>
        <w:trPr>
          <w:trHeight w:val="737" w:hRule="atLeast"/>
        </w:trPr>
        <w:tc>
          <w:tcPr>
            <w:tcW w:type="dxa" w:w="680"/>
          </w:tcPr>
          <w:p/>
        </w:tc>
        <w:tc>
          <w:tcPr>
            <w:tcW w:type="dxa" w:w="1077"/>
          </w:tcPr>
          <w:p/>
        </w:tc>
        <w:tc>
          <w:tcPr>
            <w:tcW w:type="dxa" w:w="1474"/>
          </w:tcPr>
          <w:p/>
        </w:tc>
        <w:tc>
          <w:tcPr>
            <w:tcW w:type="dxa" w:w="964"/>
          </w:tcPr>
          <w:p/>
        </w:tc>
        <w:tc>
          <w:tcPr>
            <w:tcW w:type="dxa" w:w="2324"/>
          </w:tcPr>
          <w:p/>
        </w:tc>
        <w:tc>
          <w:tcPr>
            <w:tcW w:type="dxa" w:w="1077"/>
          </w:tcPr>
          <w:p/>
        </w:tc>
        <w:tc>
          <w:tcPr>
            <w:tcW w:type="dxa" w:w="1191"/>
          </w:tcPr>
          <w:p/>
        </w:tc>
        <w:tc>
          <w:tcPr>
            <w:tcW w:type="dxa" w:w="1304"/>
          </w:tcPr>
          <w:p/>
        </w:tc>
        <w:tc>
          <w:tcPr>
            <w:tcW w:type="dxa" w:w="1020"/>
          </w:tcPr>
          <w:p/>
        </w:tc>
        <w:tc>
          <w:tcPr>
            <w:tcW w:type="dxa" w:w="2438"/>
          </w:tcPr>
          <w:p/>
        </w:tc>
        <w:tc>
          <w:tcPr>
            <w:tcW w:type="dxa" w:w="1247"/>
          </w:tcPr>
          <w:p/>
        </w:tc>
      </w:tr>
    </w:tbl>
    <w:p>
      <w:pPr>
        <w:spacing w:after="0"/>
      </w:pPr>
    </w:p>
    <w:p>
      <w:pPr>
        <w:pStyle w:val="Heading1"/>
      </w:pPr>
      <w:r>
        <w:t>Timescales — our standards</w:t>
      </w:r>
    </w:p>
    <w:p>
      <w:pPr>
        <w:pStyle w:val="ListBullet"/>
        <w:spacing w:after="40"/>
      </w:pPr>
      <w:r>
        <w:t>Acknowledge every complaint within 3 working days.</w:t>
      </w:r>
    </w:p>
    <w:p>
      <w:pPr>
        <w:pStyle w:val="ListBullet"/>
        <w:spacing w:after="40"/>
      </w:pPr>
      <w:r>
        <w:t>Investigate and respond in full within 28 days, or write explaining the delay and the new date.</w:t>
      </w:r>
    </w:p>
    <w:p>
      <w:pPr>
        <w:pStyle w:val="ListBullet"/>
        <w:spacing w:after="40"/>
      </w:pPr>
      <w:r>
        <w:t>Always include in the response: what we found, what we will change, and how to escalate — the Local Government and Social Care Ombudsman (0300 061 0614) for adult social care; complainants may also tell CQC at any time (03000 616161).</w:t>
      </w:r>
    </w:p>
    <w:p>
      <w:pPr>
        <w:pStyle w:val="ListBullet"/>
        <w:spacing w:after="40"/>
      </w:pPr>
      <w:r>
        <w:t>Review this log quarterly for themes; feed learning into team meetings and the quality audit cycle.</w:t>
      </w: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