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Duty of Candour Record (Regulation 20)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Use when a notifiable safety incident has, or may have, occurred: an unintended or unexpected incident that in the reasonable opinion of a healthcare professional resulted in (or could result in) death, severe harm, moderate harm or prolonged psychological harm. Being open and saying sorry is not an admission of liability.</w:t>
      </w:r>
    </w:p>
    <w:p>
      <w:pPr>
        <w:pStyle w:val="Heading1"/>
      </w:pPr>
      <w:r>
        <w:t>1. The incident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Notifiable safety incident details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Person affected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birth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and time of incident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Incident / accident record reference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Degree of harm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Death / severe / moderate / prolonged psychological harm — and clinical opinion source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Relevant person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The person themselves, or their representative if the person is deceased or lacks capacity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What happened — all the facts known at this stage</w:t>
            </w:r>
          </w:p>
        </w:tc>
      </w:tr>
      <w:tr>
        <w:trPr>
          <w:trHeight w:val="158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p>
      <w:pPr>
        <w:pStyle w:val="Heading1"/>
      </w:pPr>
      <w:r>
        <w:t>2. Verbal notification (as soon as reasonably practicable)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Date, time and place of verbal notification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Given by (name, role)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Account given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A true account of all facts known so far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Apology given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Record that a sincere apology was expressed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What we said would happen next (further enquiries / investigation)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Questions asked by the relevant person and answers given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Support offered (emotional and practical, advocacy, interpreter)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If notification was not practicable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Record why, and attempts made</w:t>
            </w:r>
          </w:p>
        </w:tc>
      </w:tr>
    </w:tbl>
    <w:p>
      <w:pPr>
        <w:spacing w:after="0"/>
      </w:pPr>
    </w:p>
    <w:p>
      <w:pPr>
        <w:pStyle w:val="Heading1"/>
      </w:pPr>
      <w:r>
        <w:t>3. Written follow-up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written notification sent (attach a copy)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Contents checklist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Account of the incident; apology; details of further enquiries; how results will be shared</w:t>
            </w:r>
          </w:p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Results of further enquiries / investigation shared (date, how)</w:t>
            </w:r>
          </w:p>
        </w:tc>
        <w:tc>
          <w:tcPr>
            <w:tcW w:type="dxa" w:w="6463"/>
          </w:tcPr>
          <w:p/>
        </w:tc>
      </w:tr>
      <w:tr>
        <w:trPr>
          <w:trHeight w:val="567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Any further correspondence (dates)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4. Investigation and learning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Findings of the investigation and actions taken to prevent recurrence</w:t>
            </w:r>
          </w:p>
        </w:tc>
      </w:tr>
      <w:tr>
        <w:trPr>
          <w:trHeight w:val="1587" w:hRule="atLeast"/>
        </w:trPr>
        <w:tc>
          <w:tcPr>
            <w:tcW w:type="dxa" w:w="9865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CQC statutory notification submitted (date, reference)</w:t>
            </w:r>
          </w:p>
        </w:tc>
        <w:tc>
          <w:tcPr>
            <w:tcW w:type="dxa" w:w="6463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Learning shared with the team (how, date)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5.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Staff member leading candour process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Registered 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r>
        <w:rPr>
          <w:b w:val="0"/>
          <w:i/>
          <w:color w:val="595959"/>
          <w:sz w:val="18"/>
        </w:rPr>
        <w:t>Keep this record with copies of all correspondence — CQC will expect to see a documented audit trail of compliance with each stage of Regulation 20.</w:t>
      </w: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