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 Chart Audit Tool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Audit a sample of Medication Administration Records at least monthly. For each question tick Yes, No or N/A; every 'No' requires an action in the plan at the end. Supports Regulation 12(2)(g) — the safe management of medicines.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Audit details</w:t>
            </w:r>
          </w:p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Service / unit</w:t>
            </w:r>
          </w:p>
        </w:tc>
        <w:tc>
          <w:tcPr>
            <w:tcW w:type="dxa" w:w="7030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Auditor (name, role)</w:t>
            </w:r>
          </w:p>
        </w:tc>
        <w:tc>
          <w:tcPr>
            <w:tcW w:type="dxa" w:w="7030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Date of audit</w:t>
            </w:r>
          </w:p>
        </w:tc>
        <w:tc>
          <w:tcPr>
            <w:tcW w:type="dxa" w:w="7030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Sample</w:t>
            </w:r>
          </w:p>
        </w:tc>
        <w:tc>
          <w:tcPr>
            <w:tcW w:type="dxa" w:w="7030"/>
          </w:tcPr>
          <w:p>
            <w:r>
              <w:rPr>
                <w:b w:val="0"/>
                <w:i/>
                <w:color w:val="595959"/>
                <w:sz w:val="17"/>
              </w:rPr>
              <w:t>Number of MAR charts reviewed / people's initials</w:t>
            </w:r>
          </w:p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Period covered</w:t>
            </w:r>
          </w:p>
        </w:tc>
        <w:tc>
          <w:tcPr>
            <w:tcW w:type="dxa" w:w="7030"/>
          </w:tcPr>
          <w:p/>
        </w:tc>
      </w:tr>
    </w:tbl>
    <w:p>
      <w:pPr>
        <w:spacing w:after="0"/>
      </w:pPr>
    </w:p>
    <w:p>
      <w:pPr>
        <w:pStyle w:val="Heading1"/>
      </w:pPr>
      <w:r>
        <w:t>Audit questions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40" w:hRule="atLeast"/>
          <w:tblHeader w:val="true"/>
        </w:trPr>
        <w:tc>
          <w:tcPr>
            <w:tcW w:type="dxa" w:w="510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706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Audit question</w:t>
            </w:r>
          </w:p>
        </w:tc>
        <w:tc>
          <w:tcPr>
            <w:tcW w:type="dxa" w:w="624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Yes</w:t>
            </w:r>
          </w:p>
        </w:tc>
        <w:tc>
          <w:tcPr>
            <w:tcW w:type="dxa" w:w="624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624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N/A</w:t>
            </w:r>
          </w:p>
        </w:tc>
        <w:tc>
          <w:tcPr>
            <w:tcW w:type="dxa" w:w="2778"/>
            <w:shd w:val="clear" w:fill="1F4E5F"/>
          </w:tcPr>
          <w:p>
            <w:r>
              <w:rPr>
                <w:b/>
                <w:i w:val="0"/>
                <w:color w:val="FFFFFF"/>
                <w:sz w:val="18"/>
              </w:rPr>
              <w:t>Comments / action required</w:t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Each MAR has the person's name, photo, date of birth and GP recorded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Allergies and sensitivities are recorded on every MAR (or 'none known')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Every administration is signed at the time of administration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There are no unexplained gaps in administration signatures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Omission codes are used correctly and reasons for refusal recorded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Handwritten / mid-cycle entries are signed and witnessed by a second member of staff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Quantities received, carried over and returned are recorded and reconcile with stock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Running stock balances of boxed medication are correct (sample count)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PRN medicines have an up-to-date person-specific protocol (dose, indication, interval, max in 24h)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PRN administrations record the reason given and the outcome / effectiveness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Variable dose administrations record the actual dose given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Time-sensitive medicines (e.g. Parkinson's) are given at the prescribed times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Controlled drugs register entries are double-signed and the balance is correct (sample count)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Medication room / trolley temperature recorded daily and below 25°C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Fridge temperature recorded daily and within 2–8°C, with action taken when out of range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Medicines are in date, labelled, and opening dates recorded on limited-life items (eye drops, insulin, liquids)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Covert administration (if any) is supported by an MCA best interests decision and pharmacist advice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Self-administration (if any) is supported by a risk assessment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Staff administering have completed medication training and competency assessment in date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rPr>
          <w:trHeight w:val="312" w:hRule="atLeast"/>
        </w:trPr>
        <w:tc>
          <w:tcPr>
            <w:tcW w:type="dxa" w:w="510"/>
          </w:tcPr>
          <w:p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8"/>
              </w:rPr>
              <w:t>Medication errors since last audit were recorded, reported and actioned</w:t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24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78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Action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val="340" w:hRule="atLeast"/>
          <w:tblHeader w:val="true"/>
        </w:trPr>
        <w:tc>
          <w:tcPr>
            <w:tcW w:type="dxa" w:w="680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No.</w:t>
            </w:r>
          </w:p>
        </w:tc>
        <w:tc>
          <w:tcPr>
            <w:tcW w:type="dxa" w:w="4876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158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136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By when</w:t>
            </w:r>
          </w:p>
        </w:tc>
        <w:tc>
          <w:tcPr>
            <w:tcW w:type="dxa" w:w="136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Completed</w:t>
            </w:r>
          </w:p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876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876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876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876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</w:tr>
      <w:tr>
        <w:trPr>
          <w:trHeight w:val="397" w:hRule="atLeast"/>
        </w:trPr>
        <w:tc>
          <w:tcPr>
            <w:tcW w:type="dxa" w:w="680"/>
          </w:tcPr>
          <w:p/>
        </w:tc>
        <w:tc>
          <w:tcPr>
            <w:tcW w:type="dxa" w:w="4876"/>
          </w:tcPr>
          <w:p/>
        </w:tc>
        <w:tc>
          <w:tcPr>
            <w:tcW w:type="dxa" w:w="1587"/>
          </w:tcPr>
          <w:p/>
        </w:tc>
        <w:tc>
          <w:tcPr>
            <w:tcW w:type="dxa" w:w="1361"/>
          </w:tcPr>
          <w:p/>
        </w:tc>
        <w:tc>
          <w:tcPr>
            <w:tcW w:type="dxa" w:w="1361"/>
          </w:tcPr>
          <w:p/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Auditor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Registered manager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