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Error Record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Complete as soon as the error is discovered — the priority is always the person's safety first, paperwork second. Never conceal an error; a no-blame reporting culture protects people.</w:t>
      </w:r>
    </w:p>
    <w:p>
      <w:pPr>
        <w:pStyle w:val="Heading1"/>
      </w:pPr>
      <w:r>
        <w:t>1. The error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Error details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Person affected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birth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and time error occurred (if known)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and time error discovered, and by whom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Medication(s) involved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Name, strength, dose, route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Type of error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Missed dose / wrong dose / wrong medicine / wrong person / wrong time / wrong route / unauthorised administration / recording error / stock or storage error / other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 happened — factual account</w:t>
            </w:r>
          </w:p>
        </w:tc>
      </w:tr>
      <w:tr>
        <w:trPr>
          <w:trHeight w:val="1701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2. Immediate actions — person's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Person checked — observations and current condition</w:t>
            </w:r>
          </w:p>
        </w:tc>
        <w:tc>
          <w:tcPr>
            <w:tcW w:type="dxa" w:w="6463"/>
          </w:tcPr>
          <w:p/>
        </w:tc>
      </w:tr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Medical advice sought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GP / NHS 111 / pharmacist / 999 — who was contacted, when, by whom</w:t>
            </w:r>
          </w:p>
        </w:tc>
      </w:tr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Advice given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Record verbatim, including any monitoring instructions and red flags to watch for</w:t>
            </w:r>
          </w:p>
        </w:tc>
      </w:tr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Monitoring carried out (what, how often, findings)</w:t>
            </w:r>
          </w:p>
        </w:tc>
        <w:tc>
          <w:tcPr>
            <w:tcW w:type="dxa" w:w="6463"/>
          </w:tcPr>
          <w:p/>
        </w:tc>
      </w:tr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Person / family informed (who, when — see also duty of candour if harm occurred)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3. Notifications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5102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Notification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 / time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By whom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Ref</w:t>
            </w:r>
          </w:p>
        </w:tc>
      </w:tr>
      <w:tr>
        <w:trPr>
          <w:trHeight w:val="312" w:hRule="atLeast"/>
        </w:trP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Manager on call / registered manager informed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GP informed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CQC statutory notification submitted (if harm / abuse threshold met)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Local authority safeguarding referral (if threshold met)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Commissioners / funding authority informed (if required)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Duty of candour process started (if notifiable safety incident)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Staff involved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Staff member(s) involved in the error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Medication training and competency in date? (dates)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Immediate practice action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e.g. supervised practice, retraining, competency reassessment before next medication round</w:t>
            </w:r>
          </w:p>
        </w:tc>
      </w:tr>
    </w:tbl>
    <w:p>
      <w:pPr>
        <w:spacing w:after="0"/>
      </w:pPr>
    </w:p>
    <w:p>
      <w:pPr>
        <w:pStyle w:val="Heading1"/>
      </w:pPr>
      <w:r>
        <w:t>5. Reflection and learning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Root cause and contributory factors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e.g. interruptions during the round, look-alike packaging, unclear MAR, staffing, process gaps — focus on systems, not blame.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532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 to prevent recurrence</w:t>
            </w:r>
          </w:p>
        </w:tc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36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By when</w:t>
            </w:r>
          </w:p>
        </w:tc>
        <w:tc>
          <w:tcPr>
            <w:tcW w:type="dxa" w:w="147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Completed</w:t>
            </w:r>
          </w:p>
        </w:tc>
      </w:tr>
      <w:tr>
        <w:trPr>
          <w:trHeight w:val="397" w:hRule="atLeast"/>
        </w:trPr>
        <w:tc>
          <w:tcPr>
            <w:tcW w:type="dxa" w:w="5329"/>
          </w:tcPr>
          <w:p/>
        </w:tc>
        <w:tc>
          <w:tcPr>
            <w:tcW w:type="dxa" w:w="1701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  <w:tr>
        <w:trPr>
          <w:trHeight w:val="397" w:hRule="atLeast"/>
        </w:trPr>
        <w:tc>
          <w:tcPr>
            <w:tcW w:type="dxa" w:w="5329"/>
          </w:tcPr>
          <w:p/>
        </w:tc>
        <w:tc>
          <w:tcPr>
            <w:tcW w:type="dxa" w:w="1701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  <w:tr>
        <w:trPr>
          <w:trHeight w:val="397" w:hRule="atLeast"/>
        </w:trPr>
        <w:tc>
          <w:tcPr>
            <w:tcW w:type="dxa" w:w="5329"/>
          </w:tcPr>
          <w:p/>
        </w:tc>
        <w:tc>
          <w:tcPr>
            <w:tcW w:type="dxa" w:w="1701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  <w:tr>
        <w:trPr>
          <w:trHeight w:val="397" w:hRule="atLeast"/>
        </w:trPr>
        <w:tc>
          <w:tcPr>
            <w:tcW w:type="dxa" w:w="5329"/>
          </w:tcPr>
          <w:p/>
        </w:tc>
        <w:tc>
          <w:tcPr>
            <w:tcW w:type="dxa" w:w="1701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Staff member reporting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Registered manager (review)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