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Assessment (5x5 Matrix)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General risk assessment template using a 5x5 likelihood x severity matrix. Suitable for activities, environments and individual risks. Review at the stated date, after any incident, and when anything significant changes.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Assessment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Assessment of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Activity / task / environment / person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Reference number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Assessor (name, role)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assessment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Review date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People who could be affected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Scoring key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90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430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464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Severity (consequence)</w:t>
            </w:r>
          </w:p>
        </w:tc>
      </w:tr>
      <w:tr>
        <w:trPr>
          <w:trHeight w:val="312" w:hRule="atLeast"/>
        </w:trPr>
        <w:tc>
          <w:tcPr>
            <w:tcW w:type="dxa" w:w="907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4309"/>
          </w:tcPr>
          <w:p>
            <w:r>
              <w:rPr>
                <w:b w:val="0"/>
                <w:i w:val="0"/>
                <w:sz w:val="19"/>
              </w:rPr>
              <w:t>Rare — very unlikely to happen</w:t>
            </w:r>
          </w:p>
        </w:tc>
        <w:tc>
          <w:tcPr>
            <w:tcW w:type="dxa" w:w="4649"/>
          </w:tcPr>
          <w:p>
            <w:r>
              <w:rPr>
                <w:b w:val="0"/>
                <w:i w:val="0"/>
                <w:sz w:val="19"/>
              </w:rPr>
              <w:t>Negligible — no injury or very minor, no treatment</w:t>
            </w:r>
          </w:p>
        </w:tc>
      </w:tr>
      <w:tr>
        <w:trPr>
          <w:trHeight w:val="312" w:hRule="atLeast"/>
        </w:trPr>
        <w:tc>
          <w:tcPr>
            <w:tcW w:type="dxa" w:w="907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4309"/>
          </w:tcPr>
          <w:p>
            <w:r>
              <w:rPr>
                <w:b w:val="0"/>
                <w:i w:val="0"/>
                <w:sz w:val="19"/>
              </w:rPr>
              <w:t>Unlikely — could happen but not expected</w:t>
            </w:r>
          </w:p>
        </w:tc>
        <w:tc>
          <w:tcPr>
            <w:tcW w:type="dxa" w:w="4649"/>
          </w:tcPr>
          <w:p>
            <w:r>
              <w:rPr>
                <w:b w:val="0"/>
                <w:i w:val="0"/>
                <w:sz w:val="19"/>
              </w:rPr>
              <w:t>Minor — first aid treatment only</w:t>
            </w:r>
          </w:p>
        </w:tc>
      </w:tr>
      <w:tr>
        <w:trPr>
          <w:trHeight w:val="312" w:hRule="atLeast"/>
        </w:trPr>
        <w:tc>
          <w:tcPr>
            <w:tcW w:type="dxa" w:w="907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4309"/>
          </w:tcPr>
          <w:p>
            <w:r>
              <w:rPr>
                <w:b w:val="0"/>
                <w:i w:val="0"/>
                <w:sz w:val="19"/>
              </w:rPr>
              <w:t>Possible — might happen occasionally</w:t>
            </w:r>
          </w:p>
        </w:tc>
        <w:tc>
          <w:tcPr>
            <w:tcW w:type="dxa" w:w="4649"/>
          </w:tcPr>
          <w:p>
            <w:r>
              <w:rPr>
                <w:b w:val="0"/>
                <w:i w:val="0"/>
                <w:sz w:val="19"/>
              </w:rPr>
              <w:t>Moderate — medical treatment, up to 7 days off</w:t>
            </w:r>
          </w:p>
        </w:tc>
      </w:tr>
      <w:tr>
        <w:trPr>
          <w:trHeight w:val="312" w:hRule="atLeast"/>
        </w:trPr>
        <w:tc>
          <w:tcPr>
            <w:tcW w:type="dxa" w:w="907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4309"/>
          </w:tcPr>
          <w:p>
            <w:r>
              <w:rPr>
                <w:b w:val="0"/>
                <w:i w:val="0"/>
                <w:sz w:val="19"/>
              </w:rPr>
              <w:t>Likely — will probably happen at some point</w:t>
            </w:r>
          </w:p>
        </w:tc>
        <w:tc>
          <w:tcPr>
            <w:tcW w:type="dxa" w:w="4649"/>
          </w:tcPr>
          <w:p>
            <w:r>
              <w:rPr>
                <w:b w:val="0"/>
                <w:i w:val="0"/>
                <w:sz w:val="19"/>
              </w:rPr>
              <w:t>Major — serious injury, RIDDOR reportable, hospitalisation</w:t>
            </w:r>
          </w:p>
        </w:tc>
      </w:tr>
      <w:tr>
        <w:trPr>
          <w:trHeight w:val="312" w:hRule="atLeast"/>
        </w:trPr>
        <w:tc>
          <w:tcPr>
            <w:tcW w:type="dxa" w:w="907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4309"/>
          </w:tcPr>
          <w:p>
            <w:r>
              <w:rPr>
                <w:b w:val="0"/>
                <w:i w:val="0"/>
                <w:sz w:val="19"/>
              </w:rPr>
              <w:t>Almost certain — expected to happen, possibly often</w:t>
            </w:r>
          </w:p>
        </w:tc>
        <w:tc>
          <w:tcPr>
            <w:tcW w:type="dxa" w:w="4649"/>
          </w:tcPr>
          <w:p>
            <w:r>
              <w:rPr>
                <w:b w:val="0"/>
                <w:i w:val="0"/>
                <w:sz w:val="19"/>
              </w:rPr>
              <w:t>Catastrophic — death or permanent disability</w:t>
            </w:r>
          </w:p>
        </w:tc>
      </w:tr>
    </w:tbl>
    <w:p>
      <w:pPr>
        <w:spacing w:after="0"/>
      </w:pPr>
    </w:p>
    <w:p>
      <w:pPr>
        <w:pStyle w:val="Heading2"/>
      </w:pPr>
      <w:r>
        <w:t>Risk matrix (likelihood x severity = risk score)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Likelihood ↓  Severity →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1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2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3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4</w:t>
            </w:r>
          </w:p>
        </w:tc>
        <w:tc>
          <w:tcPr>
            <w:tcW w:type="dxa" w:w="147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5</w:t>
            </w:r>
          </w:p>
        </w:tc>
      </w:tr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1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5</w:t>
            </w:r>
          </w:p>
        </w:tc>
      </w:tr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2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6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8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10</w:t>
            </w:r>
          </w:p>
        </w:tc>
      </w:tr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3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6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9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12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15</w:t>
            </w:r>
          </w:p>
        </w:tc>
      </w:tr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4</w:t>
            </w:r>
          </w:p>
        </w:tc>
        <w:tc>
          <w:tcPr>
            <w:tcW w:type="dxa" w:w="1474"/>
            <w:shd w:val="clear" w:fill="C6E0B4"/>
          </w:tcPr>
          <w:p>
            <w:pPr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8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12</w:t>
            </w:r>
          </w:p>
        </w:tc>
        <w:tc>
          <w:tcPr>
            <w:tcW w:type="dxa" w:w="1474"/>
            <w:shd w:val="clear" w:fill="FF7C80"/>
          </w:tcPr>
          <w:p>
            <w:pPr>
              <w:jc w:val="center"/>
            </w:pPr>
            <w:r>
              <w:rPr>
                <w:b/>
                <w:i w:val="0"/>
              </w:rPr>
              <w:t>16</w:t>
            </w:r>
          </w:p>
        </w:tc>
        <w:tc>
          <w:tcPr>
            <w:tcW w:type="dxa" w:w="1474"/>
            <w:shd w:val="clear" w:fill="FF7C80"/>
          </w:tcPr>
          <w:p>
            <w:pPr>
              <w:jc w:val="center"/>
            </w:pPr>
            <w:r>
              <w:rPr>
                <w:b/>
                <w:i w:val="0"/>
              </w:rPr>
              <w:t>20</w:t>
            </w:r>
          </w:p>
        </w:tc>
      </w:tr>
      <w:tr>
        <w:trPr>
          <w:trHeight w:val="369" w:hRule="atLeast"/>
        </w:trPr>
        <w:tc>
          <w:tcPr>
            <w:tcW w:type="dxa" w:w="2494"/>
            <w:shd w:val="clear" w:fill="1F4E5F"/>
          </w:tcPr>
          <w:p>
            <w:pPr>
              <w:jc w:val="center"/>
            </w:pPr>
            <w:r>
              <w:rPr>
                <w:b/>
                <w:i w:val="0"/>
                <w:color w:val="FFFFFF"/>
              </w:rPr>
              <w:t>5</w:t>
            </w:r>
          </w:p>
        </w:tc>
        <w:tc>
          <w:tcPr>
            <w:tcW w:type="dxa" w:w="1474"/>
            <w:shd w:val="clear" w:fill="FFE699"/>
          </w:tcPr>
          <w:p>
            <w:pPr>
              <w:jc w:val="center"/>
            </w:pPr>
            <w:r>
              <w:rPr>
                <w:b/>
                <w:i w:val="0"/>
              </w:rPr>
              <w:t>5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10</w:t>
            </w:r>
          </w:p>
        </w:tc>
        <w:tc>
          <w:tcPr>
            <w:tcW w:type="dxa" w:w="1474"/>
            <w:shd w:val="clear" w:fill="F4B183"/>
          </w:tcPr>
          <w:p>
            <w:pPr>
              <w:jc w:val="center"/>
            </w:pPr>
            <w:r>
              <w:rPr>
                <w:b/>
                <w:i w:val="0"/>
              </w:rPr>
              <w:t>15</w:t>
            </w:r>
          </w:p>
        </w:tc>
        <w:tc>
          <w:tcPr>
            <w:tcW w:type="dxa" w:w="1474"/>
            <w:shd w:val="clear" w:fill="FF7C80"/>
          </w:tcPr>
          <w:p>
            <w:pPr>
              <w:jc w:val="center"/>
            </w:pPr>
            <w:r>
              <w:rPr>
                <w:b/>
                <w:i w:val="0"/>
              </w:rPr>
              <w:t>20</w:t>
            </w:r>
          </w:p>
        </w:tc>
        <w:tc>
          <w:tcPr>
            <w:tcW w:type="dxa" w:w="1474"/>
            <w:shd w:val="clear" w:fill="FF7C80"/>
          </w:tcPr>
          <w:p>
            <w:pPr>
              <w:jc w:val="center"/>
            </w:pPr>
            <w:r>
              <w:rPr>
                <w:b/>
                <w:i w:val="0"/>
              </w:rPr>
              <w:t>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Score band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Rating</w:t>
            </w:r>
          </w:p>
        </w:tc>
        <w:tc>
          <w:tcPr>
            <w:tcW w:type="dxa" w:w="6463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Required action</w:t>
            </w:r>
          </w:p>
        </w:tc>
      </w:tr>
      <w:tr>
        <w:trPr>
          <w:trHeight w:val="312" w:hRule="atLeast"/>
        </w:trP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1–4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Low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Acceptable — manage by routine procedures; monitor.</w:t>
            </w:r>
          </w:p>
        </w:tc>
      </w:tr>
      <w:tr>
        <w:trPr>
          <w:trHeight w:val="312" w:hRule="atLeast"/>
        </w:trP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5–9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Medium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Action required to reduce risk; implement within a defined timescale.</w:t>
            </w:r>
          </w:p>
        </w:tc>
      </w:tr>
      <w:tr>
        <w:trPr>
          <w:trHeight w:val="312" w:hRule="atLeast"/>
        </w:trP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10–15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High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Urgent action required; senior management attention; restrict activity until controls in place.</w:t>
            </w:r>
          </w:p>
        </w:tc>
      </w:tr>
      <w:tr>
        <w:trPr>
          <w:trHeight w:val="312" w:hRule="atLeast"/>
        </w:trPr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16–25</w:t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9"/>
              </w:rPr>
              <w:t>Very high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  <w:sz w:val="19"/>
              </w:rPr>
              <w:t>Stop the activity immediately; do not proceed until the risk is reduced.</w:t>
            </w:r>
          </w:p>
        </w:tc>
      </w:tr>
    </w:tbl>
    <w:p>
      <w:pPr>
        <w:spacing w:after="0"/>
      </w:pPr>
    </w:p>
    <w:p>
      <w:pPr>
        <w:pStyle w:val="Heading1"/>
      </w:pPr>
      <w:r>
        <w:t>Hazard assessment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40" w:hRule="atLeast"/>
          <w:tblHeader w:val="true"/>
        </w:trPr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Hazard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Who might be harmed and how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Existing controls</w:t>
            </w:r>
          </w:p>
        </w:tc>
        <w:tc>
          <w:tcPr>
            <w:tcW w:type="dxa" w:w="510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L</w:t>
            </w:r>
          </w:p>
        </w:tc>
        <w:tc>
          <w:tcPr>
            <w:tcW w:type="dxa" w:w="510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S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Further action required (owner, by when)</w:t>
            </w:r>
          </w:p>
        </w:tc>
        <w:tc>
          <w:tcPr>
            <w:tcW w:type="dxa" w:w="850"/>
            <w:shd w:val="clear" w:fill="1F4E5F"/>
          </w:tcPr>
          <w:p>
            <w:r>
              <w:rPr>
                <w:b/>
                <w:i w:val="0"/>
                <w:color w:val="FFFFFF"/>
                <w:sz w:val="17"/>
              </w:rPr>
              <w:t>Residual L x S</w:t>
            </w:r>
          </w:p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  <w:tr>
        <w:trPr>
          <w:trHeight w:val="850" w:hRule="atLeast"/>
        </w:trPr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2041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  <w:tc>
          <w:tcPr>
            <w:tcW w:type="dxa" w:w="2041"/>
          </w:tcPr>
          <w:p/>
        </w:tc>
        <w:tc>
          <w:tcPr>
            <w:tcW w:type="dxa" w:w="850"/>
          </w:tcPr>
          <w:p/>
        </w:tc>
      </w:tr>
    </w:tbl>
    <w:p>
      <w:pPr>
        <w:spacing w:after="0"/>
      </w:pPr>
    </w:p>
    <w:p>
      <w:pPr>
        <w:pStyle w:val="Heading1"/>
      </w:pPr>
      <w:r>
        <w:t>Sign-off and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Assessor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Manager (approval)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Review date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Reviewed by</w:t>
            </w:r>
          </w:p>
        </w:tc>
        <w:tc>
          <w:tcPr>
            <w:tcW w:type="dxa" w:w="430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Changes made / still valid?</w:t>
            </w:r>
          </w:p>
        </w:tc>
        <w:tc>
          <w:tcPr>
            <w:tcW w:type="dxa" w:w="204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</w:tr>
      <w:tr>
        <w:trPr>
          <w:trHeight w:val="397" w:hRule="atLeast"/>
        </w:trPr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4309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4309"/>
          </w:tcPr>
          <w:p/>
        </w:tc>
        <w:tc>
          <w:tcPr>
            <w:tcW w:type="dxa" w:w="2041"/>
          </w:tcPr>
          <w:p/>
        </w:tc>
      </w:tr>
      <w:tr>
        <w:trPr>
          <w:trHeight w:val="397" w:hRule="atLeast"/>
        </w:trPr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4309"/>
          </w:tcPr>
          <w:p/>
        </w:tc>
        <w:tc>
          <w:tcPr>
            <w:tcW w:type="dxa" w:w="2041"/>
          </w:tcPr>
          <w:p/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