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User Guide — Skeleton</w:t>
      </w:r>
    </w:p>
    <w:p>
      <w:r>
        <w:rPr>
          <w:i/>
          <w:color w:val="595959"/>
          <w:sz w:val="18"/>
        </w:rPr>
        <w:t>Part of the SocialCareKit template library — socialcarekit.com. Free for use within your organisation. Review before use.</w:t>
      </w:r>
    </w:p>
    <w:p>
      <w:r>
        <w:rPr>
          <w:b w:val="0"/>
          <w:i/>
          <w:color w:val="595959"/>
          <w:sz w:val="18"/>
        </w:rPr>
        <w:t>A plain-English welcome guide for people using the service and their families. Produce accessible versions (large print, easy read, other languages) to meet the Accessible Information Standard. Give a copy to everyone before or on the day their care starts.</w:t>
      </w:r>
    </w:p>
    <w:p>
      <w:pPr>
        <w:pStyle w:val="Heading1"/>
      </w:pPr>
      <w:r>
        <w:t>Welcome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Write this section here</w:t>
            </w:r>
          </w:p>
        </w:tc>
      </w:tr>
      <w:tr>
        <w:trPr>
          <w:trHeight w:val="1020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A short, warm introduction: who we are, our values, and what people can expect from us.</w:t>
            </w:r>
          </w:p>
        </w:tc>
      </w:tr>
    </w:tbl>
    <w:p>
      <w:pPr>
        <w:spacing w:after="0"/>
      </w:pPr>
    </w:p>
    <w:p>
      <w:pPr>
        <w:pStyle w:val="Heading1"/>
      </w:pPr>
      <w:r>
        <w:t>About our service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Write this section here</w:t>
            </w:r>
          </w:p>
        </w:tc>
      </w:tr>
      <w:tr>
        <w:trPr>
          <w:trHeight w:val="1020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What we provide, who we support, and our CQC registration (including our latest rating and where to read the report).</w:t>
            </w:r>
          </w:p>
        </w:tc>
      </w:tr>
    </w:tbl>
    <w:p>
      <w:pPr>
        <w:spacing w:after="0"/>
      </w:pPr>
    </w:p>
    <w:p>
      <w:pPr>
        <w:pStyle w:val="Heading1"/>
      </w:pPr>
      <w:r>
        <w:t>Our team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Write this section here</w:t>
            </w:r>
          </w:p>
        </w:tc>
      </w:tr>
      <w:tr>
        <w:trPr>
          <w:trHeight w:val="1020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Who's who — manager, senior staff, key workers — and how staff are trained, supervised and DBS checked.</w:t>
            </w:r>
          </w:p>
        </w:tc>
      </w:tr>
    </w:tbl>
    <w:p>
      <w:pPr>
        <w:spacing w:after="0"/>
      </w:pPr>
    </w:p>
    <w:p>
      <w:pPr>
        <w:pStyle w:val="Heading1"/>
      </w:pPr>
      <w:r>
        <w:t>Your care and support plan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Write this section here</w:t>
            </w:r>
          </w:p>
        </w:tc>
      </w:tr>
      <w:tr>
        <w:trPr>
          <w:trHeight w:val="1020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How we assess needs, how the plan is agreed with you, how often it is reviewed, and how you and your family are involved.</w:t>
            </w:r>
          </w:p>
        </w:tc>
      </w:tr>
    </w:tbl>
    <w:p>
      <w:pPr>
        <w:spacing w:after="0"/>
      </w:pPr>
    </w:p>
    <w:p>
      <w:pPr>
        <w:pStyle w:val="Heading1"/>
      </w:pPr>
      <w:r>
        <w:t>Daily life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Write this section here</w:t>
            </w:r>
          </w:p>
        </w:tc>
      </w:tr>
      <w:tr>
        <w:trPr>
          <w:trHeight w:val="1020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Meals and choices, activities, visitors (no restrictions without good reason), going out, pets, phone and internet.</w:t>
            </w:r>
          </w:p>
        </w:tc>
      </w:tr>
    </w:tbl>
    <w:p>
      <w:pPr>
        <w:spacing w:after="0"/>
      </w:pPr>
    </w:p>
    <w:p>
      <w:pPr>
        <w:pStyle w:val="Heading1"/>
      </w:pPr>
      <w:r>
        <w:t>Your room and our building / Our visits to your home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Write this section here</w:t>
            </w:r>
          </w:p>
        </w:tc>
      </w:tr>
      <w:tr>
        <w:trPr>
          <w:trHeight w:val="1020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Adapt to setting: personalising rooms, laundry, keys; or for home care — visit times, what happens if a carer is late, keys and access arrangements.</w:t>
            </w:r>
          </w:p>
        </w:tc>
      </w:tr>
    </w:tbl>
    <w:p>
      <w:pPr>
        <w:spacing w:after="0"/>
      </w:pPr>
    </w:p>
    <w:p>
      <w:pPr>
        <w:pStyle w:val="Heading1"/>
      </w:pPr>
      <w:r>
        <w:t>Fees and charges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Write this section here</w:t>
            </w:r>
          </w:p>
        </w:tc>
      </w:tr>
      <w:tr>
        <w:trPr>
          <w:trHeight w:val="1020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What is included, what costs extra, invoicing arrangements, and what happens if funding changes. Reference the contract / terms.</w:t>
            </w:r>
          </w:p>
        </w:tc>
      </w:tr>
    </w:tbl>
    <w:p>
      <w:pPr>
        <w:spacing w:after="0"/>
      </w:pPr>
    </w:p>
    <w:p>
      <w:pPr>
        <w:pStyle w:val="Heading1"/>
      </w:pPr>
      <w:r>
        <w:t>Keeping you safe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Write this section here</w:t>
            </w:r>
          </w:p>
        </w:tc>
      </w:tr>
      <w:tr>
        <w:trPr>
          <w:trHeight w:val="1020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Safeguarding — what we do if we are worried someone is being harmed, and who you can talk to. Include the local authority safeguarding number.</w:t>
            </w:r>
          </w:p>
        </w:tc>
      </w:tr>
    </w:tbl>
    <w:p>
      <w:pPr>
        <w:spacing w:after="0"/>
      </w:pPr>
    </w:p>
    <w:p>
      <w:pPr>
        <w:pStyle w:val="Heading1"/>
      </w:pPr>
      <w:r>
        <w:t>Your medicines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Write this section here</w:t>
            </w:r>
          </w:p>
        </w:tc>
      </w:tr>
      <w:tr>
        <w:trPr>
          <w:trHeight w:val="1020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How we support with medicines, your right to manage your own where safe, and how errors are handled openly.</w:t>
            </w:r>
          </w:p>
        </w:tc>
      </w:tr>
    </w:tbl>
    <w:p>
      <w:pPr>
        <w:spacing w:after="0"/>
      </w:pPr>
    </w:p>
    <w:p>
      <w:pPr>
        <w:pStyle w:val="Heading1"/>
      </w:pPr>
      <w:r>
        <w:t>Your rights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Write this section here</w:t>
            </w:r>
          </w:p>
        </w:tc>
      </w:tr>
      <w:tr>
        <w:trPr>
          <w:trHeight w:val="1020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Dignity, privacy, choice and independence; consent and the Mental Capacity Act; advocacy services and how to contact them; how to see your records (data protection).</w:t>
            </w:r>
          </w:p>
        </w:tc>
      </w:tr>
    </w:tbl>
    <w:p>
      <w:pPr>
        <w:spacing w:after="0"/>
      </w:pPr>
    </w:p>
    <w:p>
      <w:pPr>
        <w:pStyle w:val="Heading1"/>
      </w:pPr>
      <w:r>
        <w:t>Compliments, comments and complaints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Write this section here</w:t>
            </w:r>
          </w:p>
        </w:tc>
      </w:tr>
      <w:tr>
        <w:trPr>
          <w:trHeight w:val="1020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How to complain, our timescales, and who else can help: the Local Government and Social Care Ombudsman (0300 061 0614) and CQC (03000 616161). Complaining will never affect your care.</w:t>
            </w:r>
          </w:p>
        </w:tc>
      </w:tr>
    </w:tbl>
    <w:p>
      <w:pPr>
        <w:spacing w:after="0"/>
      </w:pPr>
    </w:p>
    <w:p>
      <w:pPr>
        <w:pStyle w:val="Heading1"/>
      </w:pPr>
      <w:r>
        <w:t>Useful contacts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Write this section here</w:t>
            </w:r>
          </w:p>
        </w:tc>
      </w:tr>
      <w:tr>
        <w:trPr>
          <w:trHeight w:val="1020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Service phone / out-of-hours, local authority, advocacy, Healthwatch, CQC.</w:t>
            </w:r>
          </w:p>
        </w:tc>
      </w:tr>
    </w:tbl>
    <w:p>
      <w:pPr>
        <w:spacing w:after="0"/>
      </w:pPr>
    </w:p>
    <w:p/>
    <w:p>
      <w:pPr>
        <w:pBdr>
          <w:top w:val="single" w:sz="6" w:space="4" w:color="999999"/>
        </w:pBdr>
        <w:jc w:val="center"/>
      </w:pPr>
      <w:r>
        <w:rPr>
          <w:i/>
          <w:color w:val="595959"/>
          <w:sz w:val="17"/>
        </w:rPr>
        <w:t>Template last reviewed: July 2026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